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73" w:rsidRDefault="00646573" w:rsidP="009C2096">
      <w:pPr>
        <w:jc w:val="center"/>
        <w:rPr>
          <w:rFonts w:ascii="Arial" w:hAnsi="Arial" w:cs="Arial"/>
          <w:b/>
          <w:sz w:val="44"/>
          <w:szCs w:val="44"/>
        </w:rPr>
      </w:pPr>
      <w:bookmarkStart w:id="0" w:name="_GoBack"/>
      <w:bookmarkEnd w:id="0"/>
    </w:p>
    <w:p w:rsidR="00646573" w:rsidRDefault="00646573" w:rsidP="009C2096">
      <w:pPr>
        <w:jc w:val="center"/>
        <w:rPr>
          <w:rFonts w:ascii="Arial" w:hAnsi="Arial" w:cs="Arial"/>
          <w:b/>
          <w:sz w:val="44"/>
          <w:szCs w:val="44"/>
        </w:rPr>
      </w:pPr>
    </w:p>
    <w:p w:rsidR="00646573" w:rsidRDefault="00646573" w:rsidP="009C2096">
      <w:pPr>
        <w:jc w:val="center"/>
        <w:rPr>
          <w:rFonts w:ascii="Arial" w:hAnsi="Arial" w:cs="Arial"/>
          <w:b/>
          <w:sz w:val="44"/>
          <w:szCs w:val="44"/>
        </w:rPr>
      </w:pPr>
    </w:p>
    <w:p w:rsidR="009C2096" w:rsidRDefault="009C2096" w:rsidP="009C2096">
      <w:pPr>
        <w:jc w:val="center"/>
        <w:rPr>
          <w:rFonts w:ascii="Arial" w:hAnsi="Arial" w:cs="Arial"/>
          <w:b/>
          <w:sz w:val="44"/>
          <w:szCs w:val="44"/>
        </w:rPr>
      </w:pPr>
      <w:r>
        <w:rPr>
          <w:rFonts w:ascii="Arial" w:hAnsi="Arial" w:cs="Arial"/>
          <w:b/>
          <w:sz w:val="44"/>
          <w:szCs w:val="44"/>
        </w:rPr>
        <w:t>ESTATE SERVICES</w:t>
      </w:r>
      <w:r w:rsidRPr="009A038D">
        <w:rPr>
          <w:rFonts w:ascii="Arial" w:hAnsi="Arial" w:cs="Arial"/>
          <w:b/>
          <w:sz w:val="44"/>
          <w:szCs w:val="44"/>
        </w:rPr>
        <w:t xml:space="preserve"> QUALITY GROUP</w:t>
      </w:r>
    </w:p>
    <w:p w:rsidR="009C2096" w:rsidRDefault="009C2096" w:rsidP="009C2096">
      <w:pPr>
        <w:jc w:val="center"/>
        <w:rPr>
          <w:rFonts w:ascii="Arial" w:hAnsi="Arial" w:cs="Arial"/>
          <w:b/>
          <w:sz w:val="44"/>
          <w:szCs w:val="44"/>
        </w:rPr>
      </w:pPr>
    </w:p>
    <w:p w:rsidR="009C2096" w:rsidRPr="009A038D" w:rsidRDefault="009C2096" w:rsidP="009C2096">
      <w:pPr>
        <w:jc w:val="center"/>
        <w:rPr>
          <w:rFonts w:ascii="Arial" w:hAnsi="Arial" w:cs="Arial"/>
          <w:b/>
          <w:sz w:val="44"/>
          <w:szCs w:val="44"/>
        </w:rPr>
      </w:pPr>
    </w:p>
    <w:p w:rsidR="009C2096" w:rsidRDefault="009C2096" w:rsidP="009C2096">
      <w:pPr>
        <w:jc w:val="center"/>
        <w:rPr>
          <w:rFonts w:ascii="Arial" w:hAnsi="Arial" w:cs="Arial"/>
          <w:b/>
          <w:sz w:val="44"/>
          <w:szCs w:val="44"/>
        </w:rPr>
      </w:pPr>
      <w:r w:rsidRPr="009A038D">
        <w:rPr>
          <w:rFonts w:ascii="Arial" w:hAnsi="Arial" w:cs="Arial"/>
          <w:b/>
          <w:sz w:val="44"/>
          <w:szCs w:val="44"/>
        </w:rPr>
        <w:t>REPORT</w:t>
      </w:r>
    </w:p>
    <w:p w:rsidR="009C2096" w:rsidRDefault="009C2096" w:rsidP="009C2096">
      <w:pPr>
        <w:jc w:val="center"/>
        <w:rPr>
          <w:rFonts w:ascii="Arial" w:hAnsi="Arial" w:cs="Arial"/>
          <w:b/>
          <w:sz w:val="44"/>
          <w:szCs w:val="44"/>
        </w:rPr>
      </w:pPr>
    </w:p>
    <w:p w:rsidR="009C2096" w:rsidRDefault="009C2096" w:rsidP="009C2096">
      <w:pPr>
        <w:jc w:val="center"/>
        <w:rPr>
          <w:rFonts w:ascii="Arial" w:hAnsi="Arial" w:cs="Arial"/>
          <w:b/>
          <w:sz w:val="44"/>
          <w:szCs w:val="44"/>
        </w:rPr>
      </w:pPr>
    </w:p>
    <w:p w:rsidR="009C2096" w:rsidRDefault="009C2096" w:rsidP="009C2096">
      <w:pPr>
        <w:jc w:val="center"/>
        <w:rPr>
          <w:rFonts w:ascii="Arial" w:hAnsi="Arial" w:cs="Arial"/>
          <w:b/>
          <w:sz w:val="44"/>
          <w:szCs w:val="44"/>
        </w:rPr>
      </w:pPr>
    </w:p>
    <w:p w:rsidR="009C2096" w:rsidRDefault="009C2096" w:rsidP="009C2096">
      <w:pPr>
        <w:jc w:val="center"/>
        <w:rPr>
          <w:rFonts w:ascii="Arial" w:hAnsi="Arial" w:cs="Arial"/>
          <w:b/>
          <w:sz w:val="44"/>
          <w:szCs w:val="44"/>
        </w:rPr>
      </w:pPr>
    </w:p>
    <w:p w:rsidR="009C2096" w:rsidRPr="009A038D" w:rsidRDefault="009C2096" w:rsidP="009C2096">
      <w:pPr>
        <w:jc w:val="center"/>
        <w:rPr>
          <w:rFonts w:ascii="Arial" w:hAnsi="Arial" w:cs="Arial"/>
          <w:b/>
          <w:sz w:val="44"/>
          <w:szCs w:val="44"/>
        </w:rPr>
      </w:pPr>
    </w:p>
    <w:p w:rsidR="009C2096" w:rsidRPr="009A038D" w:rsidRDefault="009C2096" w:rsidP="009C2096">
      <w:pPr>
        <w:jc w:val="center"/>
        <w:rPr>
          <w:rFonts w:ascii="Arial" w:hAnsi="Arial" w:cs="Arial"/>
          <w:b/>
          <w:sz w:val="44"/>
          <w:szCs w:val="44"/>
        </w:rPr>
      </w:pPr>
      <w:r w:rsidRPr="009A038D">
        <w:rPr>
          <w:rFonts w:ascii="Arial" w:hAnsi="Arial" w:cs="Arial"/>
          <w:b/>
          <w:sz w:val="44"/>
          <w:szCs w:val="44"/>
        </w:rPr>
        <w:t>March 2015</w:t>
      </w:r>
    </w:p>
    <w:p w:rsidR="00740260" w:rsidRPr="00740260" w:rsidRDefault="002F2B26" w:rsidP="00740260">
      <w:pPr>
        <w:rPr>
          <w:rFonts w:ascii="Arial" w:hAnsi="Arial" w:cs="Arial"/>
          <w:sz w:val="32"/>
          <w:szCs w:val="32"/>
        </w:rPr>
      </w:pPr>
      <w:r>
        <w:br w:type="page"/>
      </w:r>
      <w:r w:rsidR="00740260" w:rsidRPr="00740260">
        <w:rPr>
          <w:rFonts w:ascii="Arial" w:hAnsi="Arial" w:cs="Arial"/>
          <w:sz w:val="32"/>
          <w:szCs w:val="32"/>
          <w:u w:val="single"/>
        </w:rPr>
        <w:lastRenderedPageBreak/>
        <w:t>Index</w:t>
      </w:r>
    </w:p>
    <w:p w:rsidR="00740260" w:rsidRPr="00740260" w:rsidRDefault="00740260" w:rsidP="00740260">
      <w:pPr>
        <w:rPr>
          <w:rFonts w:ascii="Arial" w:hAnsi="Arial" w:cs="Arial"/>
          <w:sz w:val="32"/>
          <w:szCs w:val="32"/>
        </w:rPr>
      </w:pPr>
    </w:p>
    <w:p w:rsidR="00740260" w:rsidRDefault="00740260" w:rsidP="00740260">
      <w:pPr>
        <w:ind w:left="5760" w:firstLine="720"/>
        <w:rPr>
          <w:rFonts w:ascii="Arial" w:hAnsi="Arial" w:cs="Arial"/>
          <w:sz w:val="32"/>
          <w:szCs w:val="32"/>
        </w:rPr>
      </w:pPr>
      <w:r w:rsidRPr="00740260">
        <w:rPr>
          <w:rFonts w:ascii="Arial" w:hAnsi="Arial" w:cs="Arial"/>
          <w:sz w:val="32"/>
          <w:szCs w:val="32"/>
        </w:rPr>
        <w:t>Page</w:t>
      </w:r>
    </w:p>
    <w:p w:rsidR="00740260" w:rsidRDefault="00740260" w:rsidP="00740260">
      <w:pPr>
        <w:rPr>
          <w:rFonts w:ascii="Arial" w:hAnsi="Arial" w:cs="Arial"/>
          <w:sz w:val="32"/>
          <w:szCs w:val="32"/>
        </w:rPr>
      </w:pPr>
      <w:r>
        <w:rPr>
          <w:rFonts w:ascii="Arial" w:hAnsi="Arial" w:cs="Arial"/>
          <w:sz w:val="32"/>
          <w:szCs w:val="32"/>
        </w:rPr>
        <w:t>1.</w:t>
      </w:r>
      <w:r>
        <w:rPr>
          <w:rFonts w:ascii="Arial" w:hAnsi="Arial" w:cs="Arial"/>
          <w:sz w:val="32"/>
          <w:szCs w:val="32"/>
        </w:rPr>
        <w:tab/>
        <w:t>Introduction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3</w:t>
      </w:r>
    </w:p>
    <w:p w:rsidR="00740260" w:rsidRDefault="00740260" w:rsidP="00740260">
      <w:pPr>
        <w:rPr>
          <w:rFonts w:ascii="Arial" w:hAnsi="Arial" w:cs="Arial"/>
          <w:sz w:val="32"/>
          <w:szCs w:val="32"/>
        </w:rPr>
      </w:pPr>
    </w:p>
    <w:p w:rsidR="00740260" w:rsidRDefault="00740260" w:rsidP="00740260">
      <w:pPr>
        <w:spacing w:line="360" w:lineRule="auto"/>
        <w:contextualSpacing/>
        <w:rPr>
          <w:rFonts w:ascii="Arial" w:hAnsi="Arial" w:cs="Arial"/>
          <w:sz w:val="32"/>
          <w:szCs w:val="32"/>
        </w:rPr>
      </w:pPr>
      <w:r>
        <w:rPr>
          <w:rFonts w:ascii="Arial" w:hAnsi="Arial" w:cs="Arial"/>
          <w:sz w:val="32"/>
          <w:szCs w:val="32"/>
        </w:rPr>
        <w:t>2.</w:t>
      </w:r>
      <w:r>
        <w:rPr>
          <w:rFonts w:ascii="Arial" w:hAnsi="Arial" w:cs="Arial"/>
          <w:sz w:val="32"/>
          <w:szCs w:val="32"/>
        </w:rPr>
        <w:tab/>
        <w:t>The Scrutiny Process</w:t>
      </w:r>
    </w:p>
    <w:p w:rsidR="00740260" w:rsidRDefault="00740260" w:rsidP="00740260">
      <w:pPr>
        <w:spacing w:line="360" w:lineRule="auto"/>
        <w:ind w:left="720"/>
        <w:contextualSpacing/>
        <w:rPr>
          <w:rFonts w:ascii="Arial" w:hAnsi="Arial" w:cs="Arial"/>
          <w:sz w:val="32"/>
          <w:szCs w:val="32"/>
        </w:rPr>
      </w:pPr>
      <w:r>
        <w:rPr>
          <w:rFonts w:ascii="Arial" w:hAnsi="Arial" w:cs="Arial"/>
          <w:sz w:val="32"/>
          <w:szCs w:val="32"/>
        </w:rPr>
        <w:t>2.1</w:t>
      </w:r>
      <w:r>
        <w:rPr>
          <w:rFonts w:ascii="Arial" w:hAnsi="Arial" w:cs="Arial"/>
          <w:sz w:val="32"/>
          <w:szCs w:val="32"/>
        </w:rPr>
        <w:tab/>
        <w:t>Policy and Procedure review</w:t>
      </w:r>
      <w:r>
        <w:rPr>
          <w:rFonts w:ascii="Arial" w:hAnsi="Arial" w:cs="Arial"/>
          <w:sz w:val="32"/>
          <w:szCs w:val="32"/>
        </w:rPr>
        <w:tab/>
      </w:r>
      <w:r>
        <w:rPr>
          <w:rFonts w:ascii="Arial" w:hAnsi="Arial" w:cs="Arial"/>
          <w:sz w:val="32"/>
          <w:szCs w:val="32"/>
        </w:rPr>
        <w:tab/>
        <w:t>4</w:t>
      </w:r>
    </w:p>
    <w:p w:rsidR="00B72BA2" w:rsidRDefault="00B72BA2" w:rsidP="00740260">
      <w:pPr>
        <w:spacing w:line="360" w:lineRule="auto"/>
        <w:ind w:left="720"/>
        <w:contextualSpacing/>
        <w:rPr>
          <w:rFonts w:ascii="Arial" w:hAnsi="Arial" w:cs="Arial"/>
          <w:sz w:val="32"/>
          <w:szCs w:val="32"/>
        </w:rPr>
      </w:pPr>
      <w:r>
        <w:rPr>
          <w:rFonts w:ascii="Arial" w:hAnsi="Arial" w:cs="Arial"/>
          <w:sz w:val="32"/>
          <w:szCs w:val="32"/>
        </w:rPr>
        <w:t>2.2</w:t>
      </w:r>
      <w:r>
        <w:rPr>
          <w:rFonts w:ascii="Arial" w:hAnsi="Arial" w:cs="Arial"/>
          <w:sz w:val="32"/>
          <w:szCs w:val="32"/>
        </w:rPr>
        <w:tab/>
        <w:t>Analysis of STAR survey</w:t>
      </w:r>
      <w:r>
        <w:rPr>
          <w:rFonts w:ascii="Arial" w:hAnsi="Arial" w:cs="Arial"/>
          <w:sz w:val="32"/>
          <w:szCs w:val="32"/>
        </w:rPr>
        <w:tab/>
      </w:r>
      <w:r>
        <w:rPr>
          <w:rFonts w:ascii="Arial" w:hAnsi="Arial" w:cs="Arial"/>
          <w:sz w:val="32"/>
          <w:szCs w:val="32"/>
        </w:rPr>
        <w:tab/>
      </w:r>
      <w:r>
        <w:rPr>
          <w:rFonts w:ascii="Arial" w:hAnsi="Arial" w:cs="Arial"/>
          <w:sz w:val="32"/>
          <w:szCs w:val="32"/>
        </w:rPr>
        <w:tab/>
        <w:t>5</w:t>
      </w:r>
    </w:p>
    <w:p w:rsidR="00B72BA2" w:rsidRDefault="00B72BA2" w:rsidP="00740260">
      <w:pPr>
        <w:spacing w:line="360" w:lineRule="auto"/>
        <w:ind w:left="720"/>
        <w:contextualSpacing/>
        <w:rPr>
          <w:rFonts w:ascii="Arial" w:hAnsi="Arial" w:cs="Arial"/>
          <w:sz w:val="32"/>
          <w:szCs w:val="32"/>
        </w:rPr>
      </w:pPr>
      <w:r>
        <w:rPr>
          <w:rFonts w:ascii="Arial" w:hAnsi="Arial" w:cs="Arial"/>
          <w:sz w:val="32"/>
          <w:szCs w:val="32"/>
        </w:rPr>
        <w:t>2.3</w:t>
      </w:r>
      <w:r>
        <w:rPr>
          <w:rFonts w:ascii="Arial" w:hAnsi="Arial" w:cs="Arial"/>
          <w:sz w:val="32"/>
          <w:szCs w:val="32"/>
        </w:rPr>
        <w:tab/>
        <w:t>Internal Audit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5</w:t>
      </w:r>
    </w:p>
    <w:p w:rsidR="00B72BA2" w:rsidRDefault="00B72BA2" w:rsidP="00740260">
      <w:pPr>
        <w:spacing w:line="360" w:lineRule="auto"/>
        <w:ind w:left="720"/>
        <w:contextualSpacing/>
        <w:rPr>
          <w:rFonts w:ascii="Arial" w:hAnsi="Arial" w:cs="Arial"/>
          <w:sz w:val="32"/>
          <w:szCs w:val="32"/>
        </w:rPr>
      </w:pPr>
      <w:r>
        <w:rPr>
          <w:rFonts w:ascii="Arial" w:hAnsi="Arial" w:cs="Arial"/>
          <w:sz w:val="32"/>
          <w:szCs w:val="32"/>
        </w:rPr>
        <w:t>2.4</w:t>
      </w:r>
      <w:r>
        <w:rPr>
          <w:rFonts w:ascii="Arial" w:hAnsi="Arial" w:cs="Arial"/>
          <w:sz w:val="32"/>
          <w:szCs w:val="32"/>
        </w:rPr>
        <w:tab/>
        <w:t>Customer surveys</w:t>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t>6</w:t>
      </w:r>
    </w:p>
    <w:p w:rsidR="00B72BA2" w:rsidRDefault="00B72BA2" w:rsidP="00740260">
      <w:pPr>
        <w:spacing w:line="360" w:lineRule="auto"/>
        <w:ind w:left="720"/>
        <w:contextualSpacing/>
        <w:rPr>
          <w:rFonts w:ascii="Arial" w:hAnsi="Arial" w:cs="Arial"/>
          <w:sz w:val="32"/>
          <w:szCs w:val="32"/>
        </w:rPr>
      </w:pPr>
      <w:r>
        <w:rPr>
          <w:rFonts w:ascii="Arial" w:hAnsi="Arial" w:cs="Arial"/>
          <w:sz w:val="32"/>
          <w:szCs w:val="32"/>
        </w:rPr>
        <w:t>2.5</w:t>
      </w:r>
      <w:r>
        <w:rPr>
          <w:rFonts w:ascii="Arial" w:hAnsi="Arial" w:cs="Arial"/>
          <w:sz w:val="32"/>
          <w:szCs w:val="32"/>
        </w:rPr>
        <w:tab/>
        <w:t>Review of closing conversations</w:t>
      </w:r>
      <w:r w:rsidR="00EF03FA">
        <w:rPr>
          <w:rFonts w:ascii="Arial" w:hAnsi="Arial" w:cs="Arial"/>
          <w:sz w:val="32"/>
          <w:szCs w:val="32"/>
        </w:rPr>
        <w:tab/>
        <w:t>7</w:t>
      </w:r>
    </w:p>
    <w:p w:rsidR="00B72BA2" w:rsidRDefault="00B72BA2" w:rsidP="00740260">
      <w:pPr>
        <w:spacing w:line="360" w:lineRule="auto"/>
        <w:ind w:left="720"/>
        <w:contextualSpacing/>
        <w:rPr>
          <w:rFonts w:ascii="Arial" w:hAnsi="Arial" w:cs="Arial"/>
          <w:sz w:val="32"/>
          <w:szCs w:val="32"/>
        </w:rPr>
      </w:pPr>
      <w:r>
        <w:rPr>
          <w:rFonts w:ascii="Arial" w:hAnsi="Arial" w:cs="Arial"/>
          <w:sz w:val="32"/>
          <w:szCs w:val="32"/>
        </w:rPr>
        <w:t>2.6</w:t>
      </w:r>
      <w:r>
        <w:rPr>
          <w:rFonts w:ascii="Arial" w:hAnsi="Arial" w:cs="Arial"/>
          <w:sz w:val="32"/>
          <w:szCs w:val="32"/>
        </w:rPr>
        <w:tab/>
        <w:t>Review of IHA website</w:t>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t>7</w:t>
      </w:r>
    </w:p>
    <w:p w:rsidR="00B72BA2" w:rsidRDefault="00B72BA2" w:rsidP="00B72BA2">
      <w:pPr>
        <w:spacing w:line="360" w:lineRule="auto"/>
        <w:ind w:left="720"/>
        <w:contextualSpacing/>
        <w:rPr>
          <w:rFonts w:ascii="Arial" w:hAnsi="Arial" w:cs="Arial"/>
          <w:sz w:val="32"/>
          <w:szCs w:val="32"/>
        </w:rPr>
      </w:pPr>
      <w:r>
        <w:rPr>
          <w:rFonts w:ascii="Arial" w:hAnsi="Arial" w:cs="Arial"/>
          <w:sz w:val="32"/>
          <w:szCs w:val="32"/>
        </w:rPr>
        <w:t>2.7</w:t>
      </w:r>
      <w:r>
        <w:rPr>
          <w:rFonts w:ascii="Arial" w:hAnsi="Arial" w:cs="Arial"/>
          <w:sz w:val="32"/>
          <w:szCs w:val="32"/>
        </w:rPr>
        <w:tab/>
        <w:t>North Ayrshire Council – ASBIT</w:t>
      </w:r>
      <w:r w:rsidR="00EF03FA">
        <w:rPr>
          <w:rFonts w:ascii="Arial" w:hAnsi="Arial" w:cs="Arial"/>
          <w:sz w:val="32"/>
          <w:szCs w:val="32"/>
        </w:rPr>
        <w:tab/>
        <w:t>8</w:t>
      </w:r>
    </w:p>
    <w:p w:rsidR="00A70228" w:rsidRDefault="00A70228" w:rsidP="00A70228">
      <w:pPr>
        <w:spacing w:line="360" w:lineRule="auto"/>
        <w:contextualSpacing/>
        <w:rPr>
          <w:rFonts w:ascii="Arial" w:hAnsi="Arial" w:cs="Arial"/>
          <w:sz w:val="32"/>
          <w:szCs w:val="32"/>
        </w:rPr>
      </w:pPr>
    </w:p>
    <w:p w:rsidR="00A70228" w:rsidRDefault="00A70228" w:rsidP="00A70228">
      <w:pPr>
        <w:spacing w:line="360" w:lineRule="auto"/>
        <w:contextualSpacing/>
        <w:rPr>
          <w:rFonts w:ascii="Arial" w:hAnsi="Arial" w:cs="Arial"/>
          <w:sz w:val="32"/>
          <w:szCs w:val="32"/>
        </w:rPr>
      </w:pPr>
      <w:r>
        <w:rPr>
          <w:rFonts w:ascii="Arial" w:hAnsi="Arial" w:cs="Arial"/>
          <w:sz w:val="32"/>
          <w:szCs w:val="32"/>
        </w:rPr>
        <w:t>3.</w:t>
      </w:r>
      <w:r>
        <w:rPr>
          <w:rFonts w:ascii="Arial" w:hAnsi="Arial" w:cs="Arial"/>
          <w:sz w:val="32"/>
          <w:szCs w:val="32"/>
        </w:rPr>
        <w:tab/>
        <w:t>Summary of findings</w:t>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t>8</w:t>
      </w:r>
    </w:p>
    <w:p w:rsidR="00A70228" w:rsidRDefault="00A70228" w:rsidP="00A70228">
      <w:pPr>
        <w:spacing w:line="360" w:lineRule="auto"/>
        <w:contextualSpacing/>
        <w:rPr>
          <w:rFonts w:ascii="Arial" w:hAnsi="Arial" w:cs="Arial"/>
          <w:sz w:val="32"/>
          <w:szCs w:val="32"/>
        </w:rPr>
      </w:pPr>
    </w:p>
    <w:p w:rsidR="00A70228" w:rsidRDefault="00A70228" w:rsidP="00A70228">
      <w:pPr>
        <w:spacing w:line="360" w:lineRule="auto"/>
        <w:contextualSpacing/>
        <w:rPr>
          <w:rFonts w:ascii="Arial" w:hAnsi="Arial" w:cs="Arial"/>
          <w:sz w:val="32"/>
          <w:szCs w:val="32"/>
        </w:rPr>
      </w:pPr>
      <w:r>
        <w:rPr>
          <w:rFonts w:ascii="Arial" w:hAnsi="Arial" w:cs="Arial"/>
          <w:sz w:val="32"/>
          <w:szCs w:val="32"/>
        </w:rPr>
        <w:t>4.</w:t>
      </w:r>
      <w:r>
        <w:rPr>
          <w:rFonts w:ascii="Arial" w:hAnsi="Arial" w:cs="Arial"/>
          <w:sz w:val="32"/>
          <w:szCs w:val="32"/>
        </w:rPr>
        <w:tab/>
        <w:t>Recommendations</w:t>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t>9, 10</w:t>
      </w:r>
    </w:p>
    <w:p w:rsidR="00A70228" w:rsidRDefault="00A70228" w:rsidP="00A70228">
      <w:pPr>
        <w:spacing w:line="360" w:lineRule="auto"/>
        <w:contextualSpacing/>
        <w:rPr>
          <w:rFonts w:ascii="Arial" w:hAnsi="Arial" w:cs="Arial"/>
          <w:sz w:val="32"/>
          <w:szCs w:val="32"/>
        </w:rPr>
      </w:pPr>
    </w:p>
    <w:p w:rsidR="00A70228" w:rsidRDefault="00A70228" w:rsidP="00A70228">
      <w:pPr>
        <w:spacing w:line="360" w:lineRule="auto"/>
        <w:contextualSpacing/>
        <w:rPr>
          <w:rFonts w:ascii="Arial" w:hAnsi="Arial" w:cs="Arial"/>
          <w:sz w:val="32"/>
          <w:szCs w:val="32"/>
        </w:rPr>
      </w:pPr>
      <w:r>
        <w:rPr>
          <w:rFonts w:ascii="Arial" w:hAnsi="Arial" w:cs="Arial"/>
          <w:sz w:val="32"/>
          <w:szCs w:val="32"/>
        </w:rPr>
        <w:t>5.</w:t>
      </w:r>
      <w:r>
        <w:rPr>
          <w:rFonts w:ascii="Arial" w:hAnsi="Arial" w:cs="Arial"/>
          <w:sz w:val="32"/>
          <w:szCs w:val="32"/>
        </w:rPr>
        <w:tab/>
        <w:t>Group members</w:t>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r>
      <w:r w:rsidR="00EF03FA">
        <w:rPr>
          <w:rFonts w:ascii="Arial" w:hAnsi="Arial" w:cs="Arial"/>
          <w:sz w:val="32"/>
          <w:szCs w:val="32"/>
        </w:rPr>
        <w:tab/>
        <w:t>10</w:t>
      </w:r>
    </w:p>
    <w:p w:rsidR="00B72BA2" w:rsidRDefault="00B72BA2" w:rsidP="00B72BA2">
      <w:pPr>
        <w:spacing w:line="360" w:lineRule="auto"/>
        <w:contextualSpacing/>
        <w:jc w:val="both"/>
        <w:rPr>
          <w:rFonts w:ascii="Arial" w:hAnsi="Arial" w:cs="Arial"/>
          <w:sz w:val="24"/>
          <w:szCs w:val="24"/>
        </w:rPr>
      </w:pPr>
    </w:p>
    <w:p w:rsidR="00A70228" w:rsidRPr="00267E2B" w:rsidRDefault="00267E2B" w:rsidP="00B72BA2">
      <w:pPr>
        <w:spacing w:line="360" w:lineRule="auto"/>
        <w:contextualSpacing/>
        <w:jc w:val="both"/>
        <w:rPr>
          <w:rFonts w:ascii="Arial" w:hAnsi="Arial" w:cs="Arial"/>
          <w:sz w:val="32"/>
          <w:szCs w:val="32"/>
        </w:rPr>
      </w:pPr>
      <w:r>
        <w:rPr>
          <w:rFonts w:ascii="Arial" w:hAnsi="Arial" w:cs="Arial"/>
          <w:sz w:val="24"/>
          <w:szCs w:val="24"/>
        </w:rPr>
        <w:tab/>
      </w:r>
      <w:r w:rsidRPr="00267E2B">
        <w:rPr>
          <w:rFonts w:ascii="Arial" w:hAnsi="Arial" w:cs="Arial"/>
          <w:sz w:val="32"/>
          <w:szCs w:val="32"/>
        </w:rPr>
        <w:t>Appendices:</w:t>
      </w:r>
    </w:p>
    <w:p w:rsidR="00267E2B" w:rsidRPr="00267E2B" w:rsidRDefault="00267E2B" w:rsidP="00B72BA2">
      <w:pPr>
        <w:spacing w:line="360" w:lineRule="auto"/>
        <w:contextualSpacing/>
        <w:jc w:val="both"/>
        <w:rPr>
          <w:rFonts w:ascii="Arial" w:hAnsi="Arial" w:cs="Arial"/>
          <w:sz w:val="32"/>
          <w:szCs w:val="32"/>
        </w:rPr>
      </w:pPr>
      <w:r w:rsidRPr="00267E2B">
        <w:rPr>
          <w:rFonts w:ascii="Arial" w:hAnsi="Arial" w:cs="Arial"/>
          <w:sz w:val="32"/>
          <w:szCs w:val="32"/>
        </w:rPr>
        <w:tab/>
        <w:t>1 – Tackling Antisocial Behaviour Policy</w:t>
      </w:r>
    </w:p>
    <w:p w:rsidR="00267E2B" w:rsidRPr="00267E2B" w:rsidRDefault="00267E2B" w:rsidP="00267E2B">
      <w:pPr>
        <w:spacing w:line="360" w:lineRule="auto"/>
        <w:ind w:firstLine="720"/>
        <w:contextualSpacing/>
        <w:jc w:val="both"/>
        <w:rPr>
          <w:rFonts w:ascii="Arial" w:hAnsi="Arial" w:cs="Arial"/>
          <w:sz w:val="32"/>
          <w:szCs w:val="32"/>
        </w:rPr>
      </w:pPr>
      <w:r w:rsidRPr="00267E2B">
        <w:rPr>
          <w:rFonts w:ascii="Arial" w:hAnsi="Arial" w:cs="Arial"/>
          <w:sz w:val="32"/>
          <w:szCs w:val="32"/>
        </w:rPr>
        <w:t>2 -  Risk Assessment</w:t>
      </w:r>
    </w:p>
    <w:p w:rsidR="00267E2B" w:rsidRPr="00267E2B" w:rsidRDefault="00267E2B" w:rsidP="00267E2B">
      <w:pPr>
        <w:spacing w:line="360" w:lineRule="auto"/>
        <w:ind w:firstLine="720"/>
        <w:contextualSpacing/>
        <w:jc w:val="both"/>
        <w:rPr>
          <w:rFonts w:ascii="Arial" w:hAnsi="Arial" w:cs="Arial"/>
          <w:sz w:val="32"/>
          <w:szCs w:val="32"/>
        </w:rPr>
      </w:pPr>
      <w:r w:rsidRPr="00267E2B">
        <w:rPr>
          <w:rFonts w:ascii="Arial" w:hAnsi="Arial" w:cs="Arial"/>
          <w:sz w:val="32"/>
          <w:szCs w:val="32"/>
        </w:rPr>
        <w:t xml:space="preserve">3 – ASB Handling Audit </w:t>
      </w:r>
      <w:r w:rsidRPr="00267E2B">
        <w:rPr>
          <w:rFonts w:ascii="Arial" w:hAnsi="Arial" w:cs="Arial"/>
          <w:sz w:val="32"/>
          <w:szCs w:val="32"/>
        </w:rPr>
        <w:tab/>
      </w:r>
    </w:p>
    <w:p w:rsidR="002F2B26" w:rsidRDefault="00740260" w:rsidP="00740260">
      <w:pPr>
        <w:spacing w:line="360" w:lineRule="auto"/>
        <w:ind w:left="720"/>
        <w:contextualSpacing/>
        <w:rPr>
          <w:rFonts w:ascii="Arial" w:hAnsi="Arial" w:cs="Arial"/>
          <w:sz w:val="24"/>
          <w:szCs w:val="24"/>
        </w:rPr>
      </w:pPr>
      <w:r w:rsidRPr="00740260">
        <w:rPr>
          <w:rFonts w:ascii="Arial" w:hAnsi="Arial" w:cs="Arial"/>
          <w:sz w:val="32"/>
          <w:szCs w:val="32"/>
        </w:rPr>
        <w:br w:type="page"/>
      </w:r>
      <w:r w:rsidRPr="00740260">
        <w:rPr>
          <w:rFonts w:ascii="Arial" w:hAnsi="Arial" w:cs="Arial"/>
          <w:sz w:val="24"/>
          <w:szCs w:val="24"/>
        </w:rPr>
        <w:lastRenderedPageBreak/>
        <w:t>1.</w:t>
      </w:r>
      <w:r w:rsidRPr="00740260">
        <w:rPr>
          <w:rFonts w:ascii="Arial" w:hAnsi="Arial" w:cs="Arial"/>
          <w:sz w:val="24"/>
          <w:szCs w:val="24"/>
        </w:rPr>
        <w:tab/>
      </w:r>
      <w:r w:rsidR="002F2B26" w:rsidRPr="00740260">
        <w:rPr>
          <w:rFonts w:ascii="Arial" w:hAnsi="Arial" w:cs="Arial"/>
          <w:sz w:val="24"/>
          <w:szCs w:val="24"/>
        </w:rPr>
        <w:t>Introduction</w:t>
      </w:r>
    </w:p>
    <w:p w:rsidR="00740260" w:rsidRPr="00740260" w:rsidRDefault="00740260" w:rsidP="00740260">
      <w:pPr>
        <w:spacing w:line="360" w:lineRule="auto"/>
        <w:contextualSpacing/>
        <w:jc w:val="both"/>
        <w:rPr>
          <w:rFonts w:ascii="Arial" w:hAnsi="Arial" w:cs="Arial"/>
          <w:sz w:val="24"/>
          <w:szCs w:val="24"/>
        </w:rPr>
      </w:pPr>
    </w:p>
    <w:p w:rsidR="002F2B26" w:rsidRDefault="002F2B26" w:rsidP="00740260">
      <w:pPr>
        <w:spacing w:line="360" w:lineRule="auto"/>
        <w:contextualSpacing/>
        <w:jc w:val="both"/>
        <w:rPr>
          <w:rFonts w:ascii="Arial" w:hAnsi="Arial" w:cs="Arial"/>
          <w:sz w:val="24"/>
          <w:szCs w:val="24"/>
        </w:rPr>
      </w:pPr>
      <w:r w:rsidRPr="002F2B26">
        <w:rPr>
          <w:rFonts w:ascii="Arial" w:hAnsi="Arial" w:cs="Arial"/>
          <w:sz w:val="24"/>
          <w:szCs w:val="24"/>
        </w:rPr>
        <w:t xml:space="preserve">The </w:t>
      </w:r>
      <w:r>
        <w:rPr>
          <w:rFonts w:ascii="Arial" w:hAnsi="Arial" w:cs="Arial"/>
          <w:sz w:val="24"/>
          <w:szCs w:val="24"/>
        </w:rPr>
        <w:t>Estate Services</w:t>
      </w:r>
      <w:r w:rsidRPr="002F2B26">
        <w:rPr>
          <w:rFonts w:ascii="Arial" w:hAnsi="Arial" w:cs="Arial"/>
          <w:sz w:val="24"/>
          <w:szCs w:val="24"/>
        </w:rPr>
        <w:t xml:space="preserve"> Quality Group was established in 2014 as part of Irvine Housing Association’s scrutiny structure.   The remit of the </w:t>
      </w:r>
      <w:r>
        <w:rPr>
          <w:rFonts w:ascii="Arial" w:hAnsi="Arial" w:cs="Arial"/>
          <w:sz w:val="24"/>
          <w:szCs w:val="24"/>
        </w:rPr>
        <w:t>Estate Services</w:t>
      </w:r>
      <w:r w:rsidRPr="002F2B26">
        <w:rPr>
          <w:rFonts w:ascii="Arial" w:hAnsi="Arial" w:cs="Arial"/>
          <w:sz w:val="24"/>
          <w:szCs w:val="24"/>
        </w:rPr>
        <w:t xml:space="preserve"> Quality Group includes:</w:t>
      </w:r>
    </w:p>
    <w:p w:rsidR="002F2B26" w:rsidRDefault="002F2B26" w:rsidP="00740260">
      <w:pPr>
        <w:numPr>
          <w:ilvl w:val="0"/>
          <w:numId w:val="1"/>
        </w:numPr>
        <w:spacing w:line="360" w:lineRule="auto"/>
        <w:contextualSpacing/>
        <w:jc w:val="both"/>
        <w:rPr>
          <w:rFonts w:ascii="Arial" w:hAnsi="Arial" w:cs="Arial"/>
          <w:sz w:val="24"/>
          <w:szCs w:val="24"/>
        </w:rPr>
      </w:pPr>
      <w:r>
        <w:rPr>
          <w:rFonts w:ascii="Arial" w:hAnsi="Arial" w:cs="Arial"/>
          <w:sz w:val="24"/>
          <w:szCs w:val="24"/>
        </w:rPr>
        <w:t>Ensuring Irvine Housing Association has well maintained neighbourhoods where residents feel safe</w:t>
      </w:r>
    </w:p>
    <w:p w:rsidR="002F2B26" w:rsidRDefault="002F2B26" w:rsidP="00740260">
      <w:pPr>
        <w:numPr>
          <w:ilvl w:val="0"/>
          <w:numId w:val="1"/>
        </w:numPr>
        <w:spacing w:line="360" w:lineRule="auto"/>
        <w:contextualSpacing/>
        <w:jc w:val="both"/>
        <w:rPr>
          <w:rFonts w:ascii="Arial" w:hAnsi="Arial" w:cs="Arial"/>
          <w:sz w:val="24"/>
          <w:szCs w:val="24"/>
        </w:rPr>
      </w:pPr>
      <w:r>
        <w:rPr>
          <w:rFonts w:ascii="Arial" w:hAnsi="Arial" w:cs="Arial"/>
          <w:sz w:val="24"/>
          <w:szCs w:val="24"/>
        </w:rPr>
        <w:t>Ensuring enforcement of tenancy conditions</w:t>
      </w:r>
    </w:p>
    <w:p w:rsidR="002F2B26" w:rsidRDefault="002F2B26" w:rsidP="00740260">
      <w:pPr>
        <w:numPr>
          <w:ilvl w:val="0"/>
          <w:numId w:val="1"/>
        </w:numPr>
        <w:spacing w:line="360" w:lineRule="auto"/>
        <w:contextualSpacing/>
        <w:jc w:val="both"/>
        <w:rPr>
          <w:rFonts w:ascii="Arial" w:hAnsi="Arial" w:cs="Arial"/>
          <w:sz w:val="24"/>
          <w:szCs w:val="24"/>
        </w:rPr>
      </w:pPr>
      <w:r>
        <w:rPr>
          <w:rFonts w:ascii="Arial" w:hAnsi="Arial" w:cs="Arial"/>
          <w:sz w:val="24"/>
          <w:szCs w:val="24"/>
        </w:rPr>
        <w:t>All aspects of estate management</w:t>
      </w:r>
    </w:p>
    <w:p w:rsidR="002F2B26" w:rsidRDefault="002F2B26" w:rsidP="00740260">
      <w:pPr>
        <w:numPr>
          <w:ilvl w:val="0"/>
          <w:numId w:val="1"/>
        </w:numPr>
        <w:spacing w:line="360" w:lineRule="auto"/>
        <w:contextualSpacing/>
        <w:jc w:val="both"/>
        <w:rPr>
          <w:rFonts w:ascii="Arial" w:hAnsi="Arial" w:cs="Arial"/>
          <w:sz w:val="24"/>
          <w:szCs w:val="24"/>
        </w:rPr>
      </w:pPr>
      <w:r>
        <w:rPr>
          <w:rFonts w:ascii="Arial" w:hAnsi="Arial" w:cs="Arial"/>
          <w:sz w:val="24"/>
          <w:szCs w:val="24"/>
        </w:rPr>
        <w:t>Neighbour disputes and anti-social behaviour</w:t>
      </w:r>
    </w:p>
    <w:p w:rsidR="002F2B26" w:rsidRDefault="002F2B26" w:rsidP="00740260">
      <w:pPr>
        <w:numPr>
          <w:ilvl w:val="0"/>
          <w:numId w:val="1"/>
        </w:numPr>
        <w:spacing w:line="360" w:lineRule="auto"/>
        <w:contextualSpacing/>
        <w:jc w:val="both"/>
        <w:rPr>
          <w:rFonts w:ascii="Arial" w:hAnsi="Arial" w:cs="Arial"/>
          <w:sz w:val="24"/>
          <w:szCs w:val="24"/>
        </w:rPr>
      </w:pPr>
      <w:r>
        <w:rPr>
          <w:rFonts w:ascii="Arial" w:hAnsi="Arial" w:cs="Arial"/>
          <w:sz w:val="24"/>
          <w:szCs w:val="24"/>
        </w:rPr>
        <w:t>Tenancy support</w:t>
      </w:r>
    </w:p>
    <w:p w:rsidR="002F2B26" w:rsidRDefault="002F2B26" w:rsidP="00740260">
      <w:pPr>
        <w:numPr>
          <w:ilvl w:val="0"/>
          <w:numId w:val="1"/>
        </w:numPr>
        <w:spacing w:line="360" w:lineRule="auto"/>
        <w:contextualSpacing/>
        <w:jc w:val="both"/>
        <w:rPr>
          <w:rFonts w:ascii="Arial" w:hAnsi="Arial" w:cs="Arial"/>
          <w:sz w:val="24"/>
          <w:szCs w:val="24"/>
        </w:rPr>
      </w:pPr>
      <w:r>
        <w:rPr>
          <w:rFonts w:ascii="Arial" w:hAnsi="Arial" w:cs="Arial"/>
          <w:sz w:val="24"/>
          <w:szCs w:val="24"/>
        </w:rPr>
        <w:t>Partnership working with other agencies</w:t>
      </w:r>
    </w:p>
    <w:p w:rsidR="00740260" w:rsidRDefault="00740260" w:rsidP="00740260">
      <w:pPr>
        <w:spacing w:line="360" w:lineRule="auto"/>
        <w:ind w:left="720"/>
        <w:contextualSpacing/>
        <w:jc w:val="both"/>
        <w:rPr>
          <w:rFonts w:ascii="Arial" w:hAnsi="Arial" w:cs="Arial"/>
          <w:sz w:val="24"/>
          <w:szCs w:val="24"/>
        </w:rPr>
      </w:pPr>
    </w:p>
    <w:p w:rsidR="002F2B26" w:rsidRDefault="002F2B26" w:rsidP="00740260">
      <w:pPr>
        <w:spacing w:line="360" w:lineRule="auto"/>
        <w:contextualSpacing/>
        <w:jc w:val="both"/>
        <w:rPr>
          <w:rFonts w:ascii="Arial" w:hAnsi="Arial" w:cs="Arial"/>
          <w:sz w:val="24"/>
          <w:szCs w:val="24"/>
        </w:rPr>
      </w:pPr>
      <w:r>
        <w:rPr>
          <w:rFonts w:ascii="Arial" w:hAnsi="Arial" w:cs="Arial"/>
          <w:sz w:val="24"/>
          <w:szCs w:val="24"/>
        </w:rPr>
        <w:t>Using this framework and information contained with</w:t>
      </w:r>
      <w:r w:rsidR="007C6518">
        <w:rPr>
          <w:rFonts w:ascii="Arial" w:hAnsi="Arial" w:cs="Arial"/>
          <w:sz w:val="24"/>
          <w:szCs w:val="24"/>
        </w:rPr>
        <w:t>in</w:t>
      </w:r>
      <w:r>
        <w:rPr>
          <w:rFonts w:ascii="Arial" w:hAnsi="Arial" w:cs="Arial"/>
          <w:sz w:val="24"/>
          <w:szCs w:val="24"/>
        </w:rPr>
        <w:t xml:space="preserve"> the Annual Return on the Charter (ARC) 2013-14 and STAR Survey 2014, the group identified the following issues:</w:t>
      </w:r>
    </w:p>
    <w:p w:rsidR="002F2B26" w:rsidRDefault="0083023D" w:rsidP="00740260">
      <w:pPr>
        <w:numPr>
          <w:ilvl w:val="0"/>
          <w:numId w:val="3"/>
        </w:numPr>
        <w:spacing w:line="360" w:lineRule="auto"/>
        <w:contextualSpacing/>
        <w:jc w:val="both"/>
        <w:rPr>
          <w:rFonts w:ascii="Arial" w:hAnsi="Arial" w:cs="Arial"/>
          <w:sz w:val="24"/>
          <w:szCs w:val="24"/>
        </w:rPr>
      </w:pPr>
      <w:r>
        <w:rPr>
          <w:rFonts w:ascii="Arial" w:hAnsi="Arial" w:cs="Arial"/>
          <w:sz w:val="24"/>
          <w:szCs w:val="24"/>
        </w:rPr>
        <w:t>Levels of customer satisfaction relating to anti-social behaviour were noted as being 44% based on the findings of the STAR survey in 2013.</w:t>
      </w:r>
    </w:p>
    <w:p w:rsidR="0083023D" w:rsidRDefault="0083023D" w:rsidP="00740260">
      <w:pPr>
        <w:numPr>
          <w:ilvl w:val="0"/>
          <w:numId w:val="3"/>
        </w:numPr>
        <w:spacing w:line="360" w:lineRule="auto"/>
        <w:contextualSpacing/>
        <w:jc w:val="both"/>
        <w:rPr>
          <w:rFonts w:ascii="Arial" w:hAnsi="Arial" w:cs="Arial"/>
          <w:sz w:val="24"/>
          <w:szCs w:val="24"/>
        </w:rPr>
      </w:pPr>
      <w:r>
        <w:rPr>
          <w:rFonts w:ascii="Arial" w:hAnsi="Arial" w:cs="Arial"/>
          <w:sz w:val="24"/>
          <w:szCs w:val="24"/>
        </w:rPr>
        <w:t xml:space="preserve">In 2014, satisfaction levels dropped to 35% across all three operating areas.  This was despite consultation on services which led to a new policy, supported by new procedures and IT system. </w:t>
      </w:r>
    </w:p>
    <w:p w:rsidR="00DE2F0A" w:rsidRDefault="00DE2F0A" w:rsidP="00740260">
      <w:pPr>
        <w:numPr>
          <w:ilvl w:val="0"/>
          <w:numId w:val="3"/>
        </w:numPr>
        <w:spacing w:line="360" w:lineRule="auto"/>
        <w:contextualSpacing/>
        <w:jc w:val="both"/>
        <w:rPr>
          <w:rFonts w:ascii="Arial" w:hAnsi="Arial" w:cs="Arial"/>
          <w:sz w:val="24"/>
          <w:szCs w:val="24"/>
        </w:rPr>
      </w:pPr>
      <w:r>
        <w:rPr>
          <w:rFonts w:ascii="Arial" w:hAnsi="Arial" w:cs="Arial"/>
          <w:sz w:val="24"/>
          <w:szCs w:val="24"/>
        </w:rPr>
        <w:t xml:space="preserve">The satisfaction levels are in contrast to our reported target compliance which is recorded as 86% of cases resolved within target, compared to the Scottish average of 75.9%.  </w:t>
      </w:r>
    </w:p>
    <w:p w:rsidR="00DE2F0A" w:rsidRDefault="00DE2F0A" w:rsidP="00740260">
      <w:pPr>
        <w:numPr>
          <w:ilvl w:val="0"/>
          <w:numId w:val="3"/>
        </w:numPr>
        <w:spacing w:line="360" w:lineRule="auto"/>
        <w:contextualSpacing/>
        <w:jc w:val="both"/>
        <w:rPr>
          <w:rFonts w:ascii="Arial" w:hAnsi="Arial" w:cs="Arial"/>
          <w:sz w:val="24"/>
          <w:szCs w:val="24"/>
        </w:rPr>
      </w:pPr>
      <w:r>
        <w:rPr>
          <w:rFonts w:ascii="Arial" w:hAnsi="Arial" w:cs="Arial"/>
          <w:sz w:val="24"/>
          <w:szCs w:val="24"/>
        </w:rPr>
        <w:t xml:space="preserve">Irvine Housing Association operate across three Local Authority areas, working in partnership with local agencies in different ways in each area. </w:t>
      </w:r>
    </w:p>
    <w:p w:rsidR="002F2B26" w:rsidRDefault="002F2B26" w:rsidP="00740260">
      <w:pPr>
        <w:spacing w:line="360" w:lineRule="auto"/>
        <w:contextualSpacing/>
        <w:jc w:val="both"/>
        <w:rPr>
          <w:rFonts w:ascii="Arial" w:hAnsi="Arial" w:cs="Arial"/>
          <w:sz w:val="24"/>
          <w:szCs w:val="24"/>
        </w:rPr>
      </w:pPr>
    </w:p>
    <w:p w:rsidR="00EB443B" w:rsidRDefault="00EB443B" w:rsidP="00740260">
      <w:pPr>
        <w:spacing w:line="360" w:lineRule="auto"/>
        <w:contextualSpacing/>
        <w:jc w:val="both"/>
        <w:rPr>
          <w:rFonts w:ascii="Arial" w:hAnsi="Arial" w:cs="Arial"/>
          <w:sz w:val="24"/>
          <w:szCs w:val="24"/>
        </w:rPr>
      </w:pPr>
    </w:p>
    <w:p w:rsidR="00EB443B" w:rsidRDefault="00EB443B" w:rsidP="00740260">
      <w:pPr>
        <w:spacing w:line="360" w:lineRule="auto"/>
        <w:contextualSpacing/>
        <w:jc w:val="both"/>
        <w:rPr>
          <w:rFonts w:ascii="Arial" w:hAnsi="Arial" w:cs="Arial"/>
          <w:sz w:val="24"/>
          <w:szCs w:val="24"/>
        </w:rPr>
      </w:pPr>
    </w:p>
    <w:p w:rsidR="00EB443B" w:rsidRDefault="00EB443B" w:rsidP="00740260">
      <w:pPr>
        <w:spacing w:line="360" w:lineRule="auto"/>
        <w:contextualSpacing/>
        <w:jc w:val="both"/>
        <w:rPr>
          <w:rFonts w:ascii="Arial" w:hAnsi="Arial" w:cs="Arial"/>
          <w:sz w:val="24"/>
          <w:szCs w:val="24"/>
        </w:rPr>
      </w:pPr>
    </w:p>
    <w:p w:rsidR="00EB443B" w:rsidRDefault="00EB443B" w:rsidP="00740260">
      <w:pPr>
        <w:spacing w:line="360" w:lineRule="auto"/>
        <w:contextualSpacing/>
        <w:jc w:val="both"/>
        <w:rPr>
          <w:rFonts w:ascii="Arial" w:hAnsi="Arial" w:cs="Arial"/>
          <w:sz w:val="24"/>
          <w:szCs w:val="24"/>
        </w:rPr>
      </w:pPr>
    </w:p>
    <w:p w:rsidR="00740260" w:rsidRDefault="00740260" w:rsidP="00740260">
      <w:pPr>
        <w:spacing w:line="360" w:lineRule="auto"/>
        <w:contextualSpacing/>
        <w:jc w:val="both"/>
        <w:rPr>
          <w:rFonts w:ascii="Arial" w:hAnsi="Arial" w:cs="Arial"/>
          <w:sz w:val="24"/>
          <w:szCs w:val="24"/>
        </w:rPr>
      </w:pPr>
    </w:p>
    <w:p w:rsidR="00EB443B" w:rsidRDefault="00EB443B" w:rsidP="00740260">
      <w:pPr>
        <w:spacing w:line="360" w:lineRule="auto"/>
        <w:contextualSpacing/>
        <w:jc w:val="both"/>
        <w:rPr>
          <w:rFonts w:ascii="Arial" w:hAnsi="Arial" w:cs="Arial"/>
          <w:sz w:val="24"/>
          <w:szCs w:val="24"/>
        </w:rPr>
      </w:pPr>
    </w:p>
    <w:p w:rsidR="00EB443B" w:rsidRDefault="00EB443B" w:rsidP="00740260">
      <w:pPr>
        <w:spacing w:line="360" w:lineRule="auto"/>
        <w:contextualSpacing/>
        <w:jc w:val="both"/>
        <w:rPr>
          <w:rFonts w:ascii="Arial" w:hAnsi="Arial" w:cs="Arial"/>
          <w:sz w:val="24"/>
          <w:szCs w:val="24"/>
        </w:rPr>
      </w:pPr>
    </w:p>
    <w:p w:rsidR="002F2B26" w:rsidRDefault="00740260" w:rsidP="00740260">
      <w:pPr>
        <w:spacing w:line="360" w:lineRule="auto"/>
        <w:contextualSpacing/>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337DE9">
        <w:rPr>
          <w:rFonts w:ascii="Arial" w:hAnsi="Arial" w:cs="Arial"/>
          <w:sz w:val="24"/>
          <w:szCs w:val="24"/>
        </w:rPr>
        <w:t>The Scrutiny Process</w:t>
      </w:r>
    </w:p>
    <w:p w:rsidR="00740260" w:rsidRDefault="00740260" w:rsidP="00740260">
      <w:pPr>
        <w:spacing w:line="360" w:lineRule="auto"/>
        <w:contextualSpacing/>
        <w:jc w:val="both"/>
        <w:rPr>
          <w:rFonts w:ascii="Arial" w:hAnsi="Arial" w:cs="Arial"/>
          <w:sz w:val="24"/>
          <w:szCs w:val="24"/>
        </w:rPr>
      </w:pPr>
    </w:p>
    <w:p w:rsidR="00740260" w:rsidRDefault="00740260" w:rsidP="00740260">
      <w:pPr>
        <w:spacing w:line="360" w:lineRule="auto"/>
        <w:contextualSpacing/>
        <w:jc w:val="both"/>
        <w:rPr>
          <w:rFonts w:ascii="Arial" w:hAnsi="Arial" w:cs="Arial"/>
          <w:sz w:val="24"/>
          <w:szCs w:val="24"/>
        </w:rPr>
      </w:pPr>
      <w:r>
        <w:rPr>
          <w:rFonts w:ascii="Arial" w:hAnsi="Arial" w:cs="Arial"/>
          <w:sz w:val="24"/>
          <w:szCs w:val="24"/>
        </w:rPr>
        <w:tab/>
        <w:t>2.1</w:t>
      </w:r>
      <w:r>
        <w:rPr>
          <w:rFonts w:ascii="Arial" w:hAnsi="Arial" w:cs="Arial"/>
          <w:sz w:val="24"/>
          <w:szCs w:val="24"/>
        </w:rPr>
        <w:tab/>
        <w:t>Policy and Procedure review</w:t>
      </w:r>
    </w:p>
    <w:p w:rsidR="00740260" w:rsidRDefault="00740260" w:rsidP="00740260">
      <w:pPr>
        <w:spacing w:line="360" w:lineRule="auto"/>
        <w:contextualSpacing/>
        <w:jc w:val="both"/>
        <w:rPr>
          <w:rFonts w:ascii="Arial" w:hAnsi="Arial" w:cs="Arial"/>
          <w:sz w:val="24"/>
          <w:szCs w:val="24"/>
        </w:rPr>
      </w:pPr>
    </w:p>
    <w:p w:rsidR="00954C74" w:rsidRPr="00740260" w:rsidRDefault="00337DE9" w:rsidP="00740260">
      <w:pPr>
        <w:spacing w:line="360" w:lineRule="auto"/>
        <w:contextualSpacing/>
        <w:jc w:val="both"/>
        <w:rPr>
          <w:rFonts w:ascii="Arial" w:hAnsi="Arial" w:cs="Arial"/>
          <w:sz w:val="24"/>
          <w:szCs w:val="24"/>
        </w:rPr>
      </w:pPr>
      <w:r w:rsidRPr="00740260">
        <w:rPr>
          <w:rFonts w:ascii="Arial" w:hAnsi="Arial" w:cs="Arial"/>
          <w:sz w:val="24"/>
          <w:szCs w:val="24"/>
        </w:rPr>
        <w:t>A review of Irvine Housing Association’s Policy</w:t>
      </w:r>
      <w:r w:rsidR="000D33FF" w:rsidRPr="00740260">
        <w:rPr>
          <w:rFonts w:ascii="Arial" w:hAnsi="Arial" w:cs="Arial"/>
          <w:sz w:val="24"/>
          <w:szCs w:val="24"/>
        </w:rPr>
        <w:t>, Procedure</w:t>
      </w:r>
      <w:r w:rsidRPr="00740260">
        <w:rPr>
          <w:rFonts w:ascii="Arial" w:hAnsi="Arial" w:cs="Arial"/>
          <w:sz w:val="24"/>
          <w:szCs w:val="24"/>
        </w:rPr>
        <w:t xml:space="preserve"> and Risk Assessment paperwork used for anti-social behaviour case management was undertaken.  </w:t>
      </w:r>
      <w:r w:rsidR="006C33A7" w:rsidRPr="00740260">
        <w:rPr>
          <w:rFonts w:ascii="Arial" w:hAnsi="Arial" w:cs="Arial"/>
          <w:sz w:val="24"/>
          <w:szCs w:val="24"/>
        </w:rPr>
        <w:t>These are attached as Appendix 1</w:t>
      </w:r>
      <w:r w:rsidR="00EF03FA">
        <w:rPr>
          <w:rFonts w:ascii="Arial" w:hAnsi="Arial" w:cs="Arial"/>
          <w:sz w:val="24"/>
          <w:szCs w:val="24"/>
        </w:rPr>
        <w:t xml:space="preserve"> and 2</w:t>
      </w:r>
      <w:r w:rsidR="006C33A7" w:rsidRPr="00740260">
        <w:rPr>
          <w:rFonts w:ascii="Arial" w:hAnsi="Arial" w:cs="Arial"/>
          <w:sz w:val="24"/>
          <w:szCs w:val="24"/>
        </w:rPr>
        <w:t xml:space="preserve">.  </w:t>
      </w:r>
      <w:r w:rsidR="00740260" w:rsidRPr="00740260">
        <w:rPr>
          <w:rFonts w:ascii="Arial" w:hAnsi="Arial" w:cs="Arial"/>
          <w:sz w:val="24"/>
          <w:szCs w:val="24"/>
        </w:rPr>
        <w:t xml:space="preserve">We also looked at </w:t>
      </w:r>
      <w:r w:rsidR="00954C74" w:rsidRPr="00740260">
        <w:rPr>
          <w:rFonts w:ascii="Arial" w:hAnsi="Arial" w:cs="Arial"/>
          <w:sz w:val="24"/>
          <w:szCs w:val="24"/>
        </w:rPr>
        <w:t>‘The Hub’ cas</w:t>
      </w:r>
      <w:r w:rsidR="00740260" w:rsidRPr="00740260">
        <w:rPr>
          <w:rFonts w:ascii="Arial" w:hAnsi="Arial" w:cs="Arial"/>
          <w:sz w:val="24"/>
          <w:szCs w:val="24"/>
        </w:rPr>
        <w:t>e management system</w:t>
      </w:r>
      <w:r w:rsidR="00954C74" w:rsidRPr="00740260">
        <w:rPr>
          <w:rFonts w:ascii="Arial" w:hAnsi="Arial" w:cs="Arial"/>
          <w:sz w:val="24"/>
          <w:szCs w:val="24"/>
        </w:rPr>
        <w:t xml:space="preserve"> to gain a greater understanding of what goes on behind the scenes.  </w:t>
      </w:r>
    </w:p>
    <w:p w:rsidR="00740260" w:rsidRPr="00740260" w:rsidRDefault="00740260" w:rsidP="00740260">
      <w:pPr>
        <w:spacing w:line="360" w:lineRule="auto"/>
        <w:contextualSpacing/>
        <w:jc w:val="both"/>
        <w:rPr>
          <w:rFonts w:ascii="Arial" w:hAnsi="Arial" w:cs="Arial"/>
          <w:sz w:val="24"/>
          <w:szCs w:val="24"/>
        </w:rPr>
      </w:pPr>
    </w:p>
    <w:p w:rsidR="006C33A7" w:rsidRPr="00740260" w:rsidRDefault="006C33A7" w:rsidP="00740260">
      <w:pPr>
        <w:spacing w:line="360" w:lineRule="auto"/>
        <w:contextualSpacing/>
        <w:jc w:val="both"/>
        <w:rPr>
          <w:rFonts w:ascii="Arial" w:hAnsi="Arial" w:cs="Arial"/>
          <w:sz w:val="24"/>
          <w:szCs w:val="24"/>
        </w:rPr>
      </w:pPr>
      <w:r w:rsidRPr="00740260">
        <w:rPr>
          <w:rFonts w:ascii="Arial" w:hAnsi="Arial" w:cs="Arial"/>
          <w:sz w:val="24"/>
          <w:szCs w:val="24"/>
        </w:rPr>
        <w:t>The risk assessment is a form which is used by officers to determine a victim’s vulnerability.  Points are awarded where certa</w:t>
      </w:r>
      <w:r w:rsidR="0065658D">
        <w:rPr>
          <w:rFonts w:ascii="Arial" w:hAnsi="Arial" w:cs="Arial"/>
          <w:sz w:val="24"/>
          <w:szCs w:val="24"/>
        </w:rPr>
        <w:t>in criteria are</w:t>
      </w:r>
      <w:r w:rsidRPr="00740260">
        <w:rPr>
          <w:rFonts w:ascii="Arial" w:hAnsi="Arial" w:cs="Arial"/>
          <w:sz w:val="24"/>
          <w:szCs w:val="24"/>
        </w:rPr>
        <w:t xml:space="preserve"> met but the points can also be overwritten if the officer feels it is necessary to do so – this could be for reasons such as vulnerability issues if the person reporting the antisocial behaviour is deemed to be more at risk than the paperwork would suggest.  </w:t>
      </w:r>
    </w:p>
    <w:p w:rsidR="00740260" w:rsidRPr="00740260" w:rsidRDefault="00740260" w:rsidP="00740260">
      <w:pPr>
        <w:spacing w:line="360" w:lineRule="auto"/>
        <w:contextualSpacing/>
        <w:jc w:val="both"/>
        <w:rPr>
          <w:rFonts w:ascii="Arial" w:hAnsi="Arial" w:cs="Arial"/>
          <w:sz w:val="24"/>
          <w:szCs w:val="24"/>
        </w:rPr>
      </w:pPr>
    </w:p>
    <w:p w:rsidR="000D33FF" w:rsidRPr="00740260" w:rsidRDefault="000D33FF" w:rsidP="00740260">
      <w:pPr>
        <w:spacing w:line="360" w:lineRule="auto"/>
        <w:contextualSpacing/>
        <w:jc w:val="both"/>
        <w:rPr>
          <w:rFonts w:ascii="Arial" w:hAnsi="Arial" w:cs="Arial"/>
          <w:sz w:val="24"/>
          <w:szCs w:val="24"/>
        </w:rPr>
      </w:pPr>
      <w:r w:rsidRPr="00740260">
        <w:rPr>
          <w:rFonts w:ascii="Arial" w:hAnsi="Arial" w:cs="Arial"/>
          <w:sz w:val="24"/>
          <w:szCs w:val="24"/>
        </w:rPr>
        <w:t>The risk assessment is seen as a useful tool with points awarded according to the nature of the situation, the vulnerability of the victim and support already in place for the victim.  It is noted that staff can override the scoring using their own judgement if they feel that the scorecard should have returned a higher (or indeed lower) score.  The result is that each case will be recorded as low, medium or high on the scale.  Whilst this is seen as an excellent tool, it was noted that the current procedure means that the risk assessment is carried out via a call back from the housing officer normally within one working day.  In practice, this could mean that over a long weekend period, it could be 5 days before an antisocial behaviour case is risk assessed.</w:t>
      </w:r>
      <w:r w:rsidR="00D626DC" w:rsidRPr="00740260">
        <w:rPr>
          <w:rFonts w:ascii="Arial" w:hAnsi="Arial" w:cs="Arial"/>
          <w:sz w:val="24"/>
          <w:szCs w:val="24"/>
        </w:rPr>
        <w:t xml:space="preserve">  Whilst this is not unreasonable for low level cases such as dog fouling, for more serious cases, this</w:t>
      </w:r>
      <w:r w:rsidRPr="00740260">
        <w:rPr>
          <w:rFonts w:ascii="Arial" w:hAnsi="Arial" w:cs="Arial"/>
          <w:sz w:val="24"/>
          <w:szCs w:val="24"/>
        </w:rPr>
        <w:t xml:space="preserve"> is not acceptable and it is the view of the Estate Services Quality Group that the risk assessment should be carried out the same day either at the point of initial report or shortly thereafter. </w:t>
      </w:r>
      <w:r w:rsidR="00954C74" w:rsidRPr="00740260">
        <w:rPr>
          <w:rFonts w:ascii="Arial" w:hAnsi="Arial" w:cs="Arial"/>
          <w:sz w:val="24"/>
          <w:szCs w:val="24"/>
        </w:rPr>
        <w:t xml:space="preserve">It is also felt that regular reviews or random ‘spot checks’ should be carried out by managers to ensure a consistency of approach to scoring the risk assessments and where the scores are overwritten, to ensure that a clear explanation exists for this.  </w:t>
      </w:r>
    </w:p>
    <w:p w:rsidR="00740260" w:rsidRDefault="00740260" w:rsidP="00740260">
      <w:pPr>
        <w:spacing w:line="360" w:lineRule="auto"/>
        <w:contextualSpacing/>
        <w:jc w:val="both"/>
        <w:rPr>
          <w:rFonts w:ascii="Arial" w:hAnsi="Arial" w:cs="Arial"/>
          <w:color w:val="984806"/>
          <w:sz w:val="24"/>
          <w:szCs w:val="24"/>
        </w:rPr>
      </w:pPr>
    </w:p>
    <w:p w:rsidR="00EF03FA" w:rsidRPr="00E03227" w:rsidRDefault="00EF03FA" w:rsidP="00740260">
      <w:pPr>
        <w:spacing w:line="360" w:lineRule="auto"/>
        <w:contextualSpacing/>
        <w:jc w:val="both"/>
        <w:rPr>
          <w:rFonts w:ascii="Arial" w:hAnsi="Arial" w:cs="Arial"/>
          <w:color w:val="984806"/>
          <w:sz w:val="24"/>
          <w:szCs w:val="24"/>
        </w:rPr>
      </w:pPr>
    </w:p>
    <w:p w:rsidR="00740260" w:rsidRDefault="00740260" w:rsidP="00740260">
      <w:pPr>
        <w:spacing w:line="360" w:lineRule="auto"/>
        <w:contextualSpacing/>
        <w:jc w:val="both"/>
        <w:rPr>
          <w:rFonts w:ascii="Arial" w:hAnsi="Arial" w:cs="Arial"/>
          <w:sz w:val="24"/>
          <w:szCs w:val="24"/>
        </w:rPr>
      </w:pPr>
    </w:p>
    <w:p w:rsidR="00740260" w:rsidRDefault="00740260" w:rsidP="00740260">
      <w:pPr>
        <w:spacing w:line="360" w:lineRule="auto"/>
        <w:contextualSpacing/>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t xml:space="preserve">Analysis of STAR survey </w:t>
      </w:r>
    </w:p>
    <w:p w:rsidR="00740260" w:rsidRDefault="00740260" w:rsidP="00740260">
      <w:pPr>
        <w:spacing w:line="360" w:lineRule="auto"/>
        <w:contextualSpacing/>
        <w:jc w:val="both"/>
        <w:rPr>
          <w:rFonts w:ascii="Arial" w:hAnsi="Arial" w:cs="Arial"/>
          <w:sz w:val="24"/>
          <w:szCs w:val="24"/>
        </w:rPr>
      </w:pPr>
    </w:p>
    <w:p w:rsidR="00C52397" w:rsidRDefault="00C52397" w:rsidP="00740260">
      <w:pPr>
        <w:spacing w:line="360" w:lineRule="auto"/>
        <w:contextualSpacing/>
        <w:jc w:val="both"/>
        <w:rPr>
          <w:rFonts w:ascii="Arial" w:hAnsi="Arial" w:cs="Arial"/>
          <w:sz w:val="24"/>
          <w:szCs w:val="24"/>
        </w:rPr>
      </w:pPr>
      <w:r>
        <w:rPr>
          <w:rFonts w:ascii="Arial" w:hAnsi="Arial" w:cs="Arial"/>
          <w:sz w:val="24"/>
          <w:szCs w:val="24"/>
        </w:rPr>
        <w:t>The STAR survey results were reviewed to determine if any patterns were evident i.e. were customers in one area more satisfied than anothe</w:t>
      </w:r>
      <w:r w:rsidR="00F41CC4">
        <w:rPr>
          <w:rFonts w:ascii="Arial" w:hAnsi="Arial" w:cs="Arial"/>
          <w:sz w:val="24"/>
          <w:szCs w:val="24"/>
        </w:rPr>
        <w:t>r.  Due to the low number cases and the low number of surveys returned,</w:t>
      </w:r>
      <w:r>
        <w:rPr>
          <w:rFonts w:ascii="Arial" w:hAnsi="Arial" w:cs="Arial"/>
          <w:sz w:val="24"/>
          <w:szCs w:val="24"/>
        </w:rPr>
        <w:t xml:space="preserve"> it has not been possible </w:t>
      </w:r>
      <w:r w:rsidR="0065658D">
        <w:rPr>
          <w:rFonts w:ascii="Arial" w:hAnsi="Arial" w:cs="Arial"/>
          <w:sz w:val="24"/>
          <w:szCs w:val="24"/>
        </w:rPr>
        <w:t xml:space="preserve">to </w:t>
      </w:r>
      <w:r w:rsidR="00F41CC4">
        <w:rPr>
          <w:rFonts w:ascii="Arial" w:hAnsi="Arial" w:cs="Arial"/>
          <w:sz w:val="24"/>
          <w:szCs w:val="24"/>
        </w:rPr>
        <w:t xml:space="preserve">provide a definitive answer to this.  </w:t>
      </w:r>
    </w:p>
    <w:p w:rsidR="00740260" w:rsidRDefault="00740260" w:rsidP="00740260">
      <w:pPr>
        <w:spacing w:line="360" w:lineRule="auto"/>
        <w:contextualSpacing/>
        <w:jc w:val="both"/>
        <w:rPr>
          <w:rFonts w:ascii="Arial" w:hAnsi="Arial" w:cs="Arial"/>
          <w:sz w:val="24"/>
          <w:szCs w:val="24"/>
        </w:rPr>
      </w:pPr>
    </w:p>
    <w:p w:rsidR="00740260" w:rsidRDefault="00740260" w:rsidP="00740260">
      <w:pPr>
        <w:spacing w:line="360" w:lineRule="auto"/>
        <w:contextualSpacing/>
        <w:jc w:val="both"/>
        <w:rPr>
          <w:rFonts w:ascii="Arial" w:hAnsi="Arial" w:cs="Arial"/>
          <w:sz w:val="24"/>
          <w:szCs w:val="24"/>
        </w:rPr>
      </w:pPr>
      <w:r>
        <w:rPr>
          <w:rFonts w:ascii="Arial" w:hAnsi="Arial" w:cs="Arial"/>
          <w:sz w:val="24"/>
          <w:szCs w:val="24"/>
        </w:rPr>
        <w:t>2.3</w:t>
      </w:r>
      <w:r>
        <w:rPr>
          <w:rFonts w:ascii="Arial" w:hAnsi="Arial" w:cs="Arial"/>
          <w:sz w:val="24"/>
          <w:szCs w:val="24"/>
        </w:rPr>
        <w:tab/>
        <w:t>Internal Audit</w:t>
      </w:r>
    </w:p>
    <w:p w:rsidR="003202DF" w:rsidRPr="003D7932" w:rsidRDefault="003202DF" w:rsidP="00740260">
      <w:pPr>
        <w:spacing w:line="360" w:lineRule="auto"/>
        <w:contextualSpacing/>
        <w:jc w:val="both"/>
        <w:rPr>
          <w:rFonts w:ascii="Arial" w:hAnsi="Arial" w:cs="Arial"/>
          <w:color w:val="365F91"/>
          <w:sz w:val="24"/>
          <w:szCs w:val="24"/>
          <w:u w:val="single"/>
        </w:rPr>
      </w:pPr>
    </w:p>
    <w:p w:rsidR="003202DF" w:rsidRPr="00B72BA2" w:rsidRDefault="003202DF" w:rsidP="00740260">
      <w:pPr>
        <w:spacing w:line="360" w:lineRule="auto"/>
        <w:contextualSpacing/>
        <w:jc w:val="both"/>
        <w:rPr>
          <w:rFonts w:ascii="Arial" w:hAnsi="Arial" w:cs="Arial"/>
          <w:sz w:val="24"/>
          <w:szCs w:val="24"/>
        </w:rPr>
      </w:pPr>
      <w:r w:rsidRPr="00B72BA2">
        <w:rPr>
          <w:rFonts w:ascii="Arial" w:hAnsi="Arial" w:cs="Arial"/>
          <w:sz w:val="24"/>
          <w:szCs w:val="24"/>
        </w:rPr>
        <w:t xml:space="preserve">The group selected 12 cases to go to internal audit.  Identifying details such as name and addresses were removed by staff and we then selected cases to give as broad a spectrum as possible including location and type of antisocial behaviour.  </w:t>
      </w:r>
    </w:p>
    <w:p w:rsidR="00740260" w:rsidRPr="00B72BA2" w:rsidRDefault="00740260" w:rsidP="00740260">
      <w:pPr>
        <w:spacing w:line="360" w:lineRule="auto"/>
        <w:contextualSpacing/>
        <w:jc w:val="both"/>
        <w:rPr>
          <w:rFonts w:ascii="Arial" w:hAnsi="Arial" w:cs="Arial"/>
          <w:sz w:val="24"/>
          <w:szCs w:val="24"/>
        </w:rPr>
      </w:pPr>
    </w:p>
    <w:p w:rsidR="00C23EA6" w:rsidRPr="00B72BA2" w:rsidRDefault="00C23EA6" w:rsidP="00740260">
      <w:pPr>
        <w:spacing w:line="360" w:lineRule="auto"/>
        <w:contextualSpacing/>
        <w:jc w:val="both"/>
        <w:rPr>
          <w:rFonts w:ascii="Arial" w:hAnsi="Arial" w:cs="Arial"/>
          <w:sz w:val="24"/>
          <w:szCs w:val="24"/>
        </w:rPr>
      </w:pPr>
      <w:r w:rsidRPr="00B72BA2">
        <w:rPr>
          <w:rFonts w:ascii="Arial" w:hAnsi="Arial" w:cs="Arial"/>
          <w:sz w:val="24"/>
          <w:szCs w:val="24"/>
        </w:rPr>
        <w:t xml:space="preserve">No high risk issues were identified but some recommendations have been made by Internal Audit.  From these recommendations, some are procedural and are for the benefit of IHA but we have noted below the recommendations most likely to impact upon customer satisfaction – these are:  </w:t>
      </w:r>
    </w:p>
    <w:p w:rsidR="00740260" w:rsidRPr="00B72BA2" w:rsidRDefault="00740260" w:rsidP="00740260">
      <w:pPr>
        <w:spacing w:line="360" w:lineRule="auto"/>
        <w:contextualSpacing/>
        <w:jc w:val="both"/>
        <w:rPr>
          <w:rFonts w:ascii="Arial" w:hAnsi="Arial" w:cs="Arial"/>
          <w:sz w:val="24"/>
          <w:szCs w:val="24"/>
        </w:rPr>
      </w:pPr>
    </w:p>
    <w:p w:rsidR="00280284" w:rsidRPr="00B72BA2" w:rsidRDefault="00280284" w:rsidP="00740260">
      <w:pPr>
        <w:numPr>
          <w:ilvl w:val="0"/>
          <w:numId w:val="4"/>
        </w:numPr>
        <w:spacing w:line="360" w:lineRule="auto"/>
        <w:contextualSpacing/>
        <w:jc w:val="both"/>
        <w:rPr>
          <w:rFonts w:ascii="Arial" w:hAnsi="Arial" w:cs="Arial"/>
          <w:sz w:val="24"/>
          <w:szCs w:val="24"/>
        </w:rPr>
      </w:pPr>
      <w:r w:rsidRPr="00B72BA2">
        <w:rPr>
          <w:rFonts w:ascii="Arial" w:hAnsi="Arial" w:cs="Arial"/>
          <w:sz w:val="24"/>
          <w:szCs w:val="24"/>
        </w:rPr>
        <w:t xml:space="preserve">Throughout the sample there was a lack of detailed notes regarding actions taken and behavioural plans being agreed.  </w:t>
      </w:r>
    </w:p>
    <w:p w:rsidR="00740260" w:rsidRPr="00B72BA2" w:rsidRDefault="00740260" w:rsidP="00740260">
      <w:pPr>
        <w:spacing w:line="360" w:lineRule="auto"/>
        <w:contextualSpacing/>
        <w:jc w:val="both"/>
        <w:rPr>
          <w:rFonts w:ascii="Arial" w:hAnsi="Arial" w:cs="Arial"/>
          <w:sz w:val="24"/>
          <w:szCs w:val="24"/>
        </w:rPr>
      </w:pPr>
    </w:p>
    <w:p w:rsidR="00954C74" w:rsidRPr="00B72BA2" w:rsidRDefault="00C23EA6" w:rsidP="00740260">
      <w:pPr>
        <w:numPr>
          <w:ilvl w:val="0"/>
          <w:numId w:val="4"/>
        </w:numPr>
        <w:spacing w:line="360" w:lineRule="auto"/>
        <w:contextualSpacing/>
        <w:jc w:val="both"/>
        <w:rPr>
          <w:rFonts w:ascii="Arial" w:hAnsi="Arial" w:cs="Arial"/>
          <w:sz w:val="24"/>
          <w:szCs w:val="24"/>
        </w:rPr>
      </w:pPr>
      <w:r w:rsidRPr="00B72BA2">
        <w:rPr>
          <w:rFonts w:ascii="Arial" w:hAnsi="Arial" w:cs="Arial"/>
          <w:sz w:val="24"/>
          <w:szCs w:val="24"/>
        </w:rPr>
        <w:t>It is assumed that if no further complaints are made within 20 days that the problem has been resolved - a follow up call would confirm this.</w:t>
      </w:r>
    </w:p>
    <w:p w:rsidR="00740260" w:rsidRPr="00B72BA2" w:rsidRDefault="00740260" w:rsidP="00740260">
      <w:pPr>
        <w:spacing w:line="360" w:lineRule="auto"/>
        <w:contextualSpacing/>
        <w:jc w:val="both"/>
        <w:rPr>
          <w:rFonts w:ascii="Arial" w:hAnsi="Arial" w:cs="Arial"/>
          <w:sz w:val="24"/>
          <w:szCs w:val="24"/>
        </w:rPr>
      </w:pPr>
    </w:p>
    <w:p w:rsidR="00762DE1" w:rsidRPr="00B72BA2" w:rsidRDefault="00762DE1" w:rsidP="00740260">
      <w:pPr>
        <w:numPr>
          <w:ilvl w:val="0"/>
          <w:numId w:val="4"/>
        </w:numPr>
        <w:spacing w:line="360" w:lineRule="auto"/>
        <w:contextualSpacing/>
        <w:jc w:val="both"/>
        <w:rPr>
          <w:rFonts w:ascii="Arial" w:hAnsi="Arial" w:cs="Arial"/>
          <w:sz w:val="24"/>
          <w:szCs w:val="24"/>
        </w:rPr>
      </w:pPr>
      <w:r w:rsidRPr="00B72BA2">
        <w:rPr>
          <w:rFonts w:ascii="Arial" w:hAnsi="Arial" w:cs="Arial"/>
          <w:sz w:val="24"/>
          <w:szCs w:val="24"/>
        </w:rPr>
        <w:t xml:space="preserve">Home visits should be carried out in all instances.  Where this is not possible for whatever reason, this should be recorded.  </w:t>
      </w:r>
    </w:p>
    <w:p w:rsidR="00740260" w:rsidRPr="00B72BA2" w:rsidRDefault="00740260" w:rsidP="00740260">
      <w:pPr>
        <w:spacing w:line="360" w:lineRule="auto"/>
        <w:contextualSpacing/>
        <w:jc w:val="both"/>
        <w:rPr>
          <w:rFonts w:ascii="Arial" w:hAnsi="Arial" w:cs="Arial"/>
          <w:sz w:val="24"/>
          <w:szCs w:val="24"/>
        </w:rPr>
      </w:pPr>
    </w:p>
    <w:p w:rsidR="00C23EA6" w:rsidRPr="00B72BA2" w:rsidRDefault="00C23EA6" w:rsidP="00740260">
      <w:pPr>
        <w:spacing w:line="360" w:lineRule="auto"/>
        <w:contextualSpacing/>
        <w:jc w:val="both"/>
        <w:rPr>
          <w:rFonts w:ascii="Arial" w:hAnsi="Arial" w:cs="Arial"/>
          <w:sz w:val="24"/>
          <w:szCs w:val="24"/>
        </w:rPr>
      </w:pPr>
      <w:r w:rsidRPr="00B72BA2">
        <w:rPr>
          <w:rFonts w:ascii="Arial" w:hAnsi="Arial" w:cs="Arial"/>
          <w:sz w:val="24"/>
          <w:szCs w:val="24"/>
        </w:rPr>
        <w:t xml:space="preserve">The full report from Internal Audit, including Director’s Comments and Action Plan is attached at Appendix </w:t>
      </w:r>
      <w:r w:rsidR="00EF03FA">
        <w:rPr>
          <w:rFonts w:ascii="Arial" w:hAnsi="Arial" w:cs="Arial"/>
          <w:sz w:val="24"/>
          <w:szCs w:val="24"/>
        </w:rPr>
        <w:t>3</w:t>
      </w:r>
      <w:r w:rsidRPr="00B72BA2">
        <w:rPr>
          <w:rFonts w:ascii="Arial" w:hAnsi="Arial" w:cs="Arial"/>
          <w:sz w:val="24"/>
          <w:szCs w:val="24"/>
        </w:rPr>
        <w:t xml:space="preserve">.  </w:t>
      </w:r>
    </w:p>
    <w:p w:rsidR="00954C74" w:rsidRPr="00B72BA2" w:rsidRDefault="00954C74" w:rsidP="00740260">
      <w:pPr>
        <w:spacing w:line="360" w:lineRule="auto"/>
        <w:contextualSpacing/>
        <w:jc w:val="both"/>
        <w:rPr>
          <w:rFonts w:ascii="Arial" w:hAnsi="Arial" w:cs="Arial"/>
          <w:sz w:val="24"/>
          <w:szCs w:val="24"/>
          <w:u w:val="single"/>
        </w:rPr>
      </w:pPr>
    </w:p>
    <w:p w:rsidR="00740260" w:rsidRDefault="00740260" w:rsidP="00740260">
      <w:pPr>
        <w:spacing w:line="360" w:lineRule="auto"/>
        <w:contextualSpacing/>
        <w:jc w:val="both"/>
        <w:rPr>
          <w:rFonts w:ascii="Arial" w:hAnsi="Arial" w:cs="Arial"/>
          <w:sz w:val="24"/>
          <w:szCs w:val="24"/>
          <w:u w:val="single"/>
        </w:rPr>
      </w:pPr>
    </w:p>
    <w:p w:rsidR="00740260" w:rsidRDefault="00740260" w:rsidP="00740260">
      <w:pPr>
        <w:spacing w:line="360" w:lineRule="auto"/>
        <w:contextualSpacing/>
        <w:jc w:val="both"/>
        <w:rPr>
          <w:rFonts w:ascii="Arial" w:hAnsi="Arial" w:cs="Arial"/>
          <w:sz w:val="24"/>
          <w:szCs w:val="24"/>
          <w:u w:val="single"/>
        </w:rPr>
      </w:pPr>
    </w:p>
    <w:p w:rsidR="00740260" w:rsidRDefault="00740260" w:rsidP="00740260">
      <w:pPr>
        <w:spacing w:line="360" w:lineRule="auto"/>
        <w:contextualSpacing/>
        <w:jc w:val="both"/>
        <w:rPr>
          <w:rFonts w:ascii="Arial" w:hAnsi="Arial" w:cs="Arial"/>
          <w:sz w:val="24"/>
          <w:szCs w:val="24"/>
          <w:u w:val="single"/>
        </w:rPr>
      </w:pPr>
    </w:p>
    <w:p w:rsidR="00EF03FA" w:rsidRDefault="00EF03FA" w:rsidP="00740260">
      <w:pPr>
        <w:spacing w:line="360" w:lineRule="auto"/>
        <w:contextualSpacing/>
        <w:jc w:val="both"/>
        <w:rPr>
          <w:rFonts w:ascii="Arial" w:hAnsi="Arial" w:cs="Arial"/>
          <w:sz w:val="24"/>
          <w:szCs w:val="24"/>
          <w:u w:val="single"/>
        </w:rPr>
      </w:pPr>
    </w:p>
    <w:p w:rsidR="00740260" w:rsidRDefault="00740260" w:rsidP="00740260">
      <w:pPr>
        <w:spacing w:line="360" w:lineRule="auto"/>
        <w:contextualSpacing/>
        <w:jc w:val="both"/>
        <w:rPr>
          <w:rFonts w:ascii="Arial" w:hAnsi="Arial" w:cs="Arial"/>
          <w:sz w:val="24"/>
          <w:szCs w:val="24"/>
          <w:u w:val="single"/>
        </w:rPr>
      </w:pPr>
    </w:p>
    <w:p w:rsidR="003D7932" w:rsidRDefault="00B72BA2" w:rsidP="00740260">
      <w:pPr>
        <w:spacing w:line="360" w:lineRule="auto"/>
        <w:contextualSpacing/>
        <w:jc w:val="both"/>
        <w:rPr>
          <w:rFonts w:ascii="Arial" w:hAnsi="Arial" w:cs="Arial"/>
          <w:sz w:val="24"/>
          <w:szCs w:val="24"/>
        </w:rPr>
      </w:pPr>
      <w:r w:rsidRPr="00B72BA2">
        <w:rPr>
          <w:rFonts w:ascii="Arial" w:hAnsi="Arial" w:cs="Arial"/>
          <w:sz w:val="24"/>
          <w:szCs w:val="24"/>
        </w:rPr>
        <w:t>2.4</w:t>
      </w:r>
      <w:r w:rsidRPr="00B72BA2">
        <w:rPr>
          <w:rFonts w:ascii="Arial" w:hAnsi="Arial" w:cs="Arial"/>
          <w:sz w:val="24"/>
          <w:szCs w:val="24"/>
        </w:rPr>
        <w:tab/>
      </w:r>
      <w:r w:rsidR="003D7932" w:rsidRPr="00B72BA2">
        <w:rPr>
          <w:rFonts w:ascii="Arial" w:hAnsi="Arial" w:cs="Arial"/>
          <w:sz w:val="24"/>
          <w:szCs w:val="24"/>
        </w:rPr>
        <w:t>Customer Survey</w:t>
      </w:r>
    </w:p>
    <w:p w:rsidR="00B72BA2" w:rsidRPr="00B72BA2" w:rsidRDefault="00B72BA2" w:rsidP="00740260">
      <w:pPr>
        <w:spacing w:line="360" w:lineRule="auto"/>
        <w:contextualSpacing/>
        <w:jc w:val="both"/>
        <w:rPr>
          <w:rFonts w:ascii="Arial" w:hAnsi="Arial" w:cs="Arial"/>
          <w:sz w:val="24"/>
          <w:szCs w:val="24"/>
        </w:rPr>
      </w:pPr>
    </w:p>
    <w:p w:rsidR="00D6182C" w:rsidRDefault="00874097" w:rsidP="00740260">
      <w:pPr>
        <w:spacing w:line="360" w:lineRule="auto"/>
        <w:contextualSpacing/>
        <w:jc w:val="both"/>
        <w:rPr>
          <w:rFonts w:ascii="Arial" w:hAnsi="Arial" w:cs="Arial"/>
          <w:sz w:val="24"/>
          <w:szCs w:val="24"/>
        </w:rPr>
      </w:pPr>
      <w:r>
        <w:rPr>
          <w:rFonts w:ascii="Arial" w:hAnsi="Arial" w:cs="Arial"/>
          <w:sz w:val="24"/>
          <w:szCs w:val="24"/>
        </w:rPr>
        <w:t xml:space="preserve">We considered holding a focus group of those customers who have used our anti-social behaviour service to better understand their views.  At the present time, we have not been able to pursue this avenue as people have generally been reluctant to participate.  </w:t>
      </w:r>
      <w:r w:rsidR="00EB443B">
        <w:rPr>
          <w:rFonts w:ascii="Arial" w:hAnsi="Arial" w:cs="Arial"/>
          <w:sz w:val="24"/>
          <w:szCs w:val="24"/>
        </w:rPr>
        <w:t xml:space="preserve">Postal surveys were issued on 19 March to 53 people who have used our antisocial behaviour service.  </w:t>
      </w:r>
      <w:r w:rsidR="00D6182C">
        <w:rPr>
          <w:rFonts w:ascii="Arial" w:hAnsi="Arial" w:cs="Arial"/>
          <w:sz w:val="24"/>
          <w:szCs w:val="24"/>
        </w:rPr>
        <w:t>6 surveys were returned but despite the low return rate, these surveys have revealed the following:</w:t>
      </w:r>
    </w:p>
    <w:p w:rsidR="00D6182C" w:rsidRDefault="00D6182C" w:rsidP="00740260">
      <w:pPr>
        <w:spacing w:line="360" w:lineRule="auto"/>
        <w:contextualSpacing/>
        <w:jc w:val="both"/>
        <w:rPr>
          <w:rFonts w:ascii="Arial" w:hAnsi="Arial" w:cs="Arial"/>
          <w:sz w:val="24"/>
          <w:szCs w:val="24"/>
        </w:rPr>
      </w:pPr>
    </w:p>
    <w:p w:rsidR="00D6182C" w:rsidRPr="00D6182C" w:rsidRDefault="00D6182C" w:rsidP="00D6182C">
      <w:pPr>
        <w:pStyle w:val="ListParagraph"/>
        <w:numPr>
          <w:ilvl w:val="0"/>
          <w:numId w:val="5"/>
        </w:numPr>
        <w:spacing w:line="360" w:lineRule="auto"/>
        <w:jc w:val="both"/>
        <w:rPr>
          <w:rFonts w:ascii="Arial" w:hAnsi="Arial" w:cs="Arial"/>
          <w:sz w:val="24"/>
          <w:szCs w:val="24"/>
        </w:rPr>
      </w:pPr>
      <w:r w:rsidRPr="00D6182C">
        <w:rPr>
          <w:rFonts w:ascii="Arial" w:hAnsi="Arial" w:cs="Arial"/>
          <w:sz w:val="24"/>
          <w:szCs w:val="24"/>
        </w:rPr>
        <w:t xml:space="preserve">4 </w:t>
      </w:r>
      <w:r>
        <w:rPr>
          <w:rFonts w:ascii="Arial" w:hAnsi="Arial" w:cs="Arial"/>
          <w:sz w:val="24"/>
          <w:szCs w:val="24"/>
        </w:rPr>
        <w:t>respondents said that IHA had failed to keep in regular contact</w:t>
      </w:r>
      <w:r w:rsidRPr="00D6182C">
        <w:rPr>
          <w:rFonts w:ascii="Arial" w:hAnsi="Arial" w:cs="Arial"/>
          <w:sz w:val="24"/>
          <w:szCs w:val="24"/>
        </w:rPr>
        <w:t>.</w:t>
      </w:r>
      <w:r>
        <w:rPr>
          <w:rFonts w:ascii="Arial" w:hAnsi="Arial" w:cs="Arial"/>
          <w:sz w:val="24"/>
          <w:szCs w:val="24"/>
        </w:rPr>
        <w:t xml:space="preserve">  The remaining 2 who said IHA had kept in regular contact said the amount of contact was “about right”.</w:t>
      </w:r>
    </w:p>
    <w:p w:rsidR="00D6182C" w:rsidRPr="00D6182C" w:rsidRDefault="00D6182C" w:rsidP="00D6182C">
      <w:pPr>
        <w:pStyle w:val="ListParagraph"/>
        <w:numPr>
          <w:ilvl w:val="0"/>
          <w:numId w:val="5"/>
        </w:numPr>
        <w:spacing w:line="360" w:lineRule="auto"/>
        <w:jc w:val="both"/>
        <w:rPr>
          <w:rFonts w:ascii="Arial" w:hAnsi="Arial" w:cs="Arial"/>
          <w:sz w:val="24"/>
          <w:szCs w:val="24"/>
        </w:rPr>
      </w:pPr>
      <w:r w:rsidRPr="00D6182C">
        <w:rPr>
          <w:rFonts w:ascii="Arial" w:hAnsi="Arial" w:cs="Arial"/>
          <w:sz w:val="24"/>
          <w:szCs w:val="24"/>
        </w:rPr>
        <w:t>2 respondents said that after IHA’s intervention, the anti social behaviour “got worse” but the other four said it either reduced or stopped altogether.</w:t>
      </w:r>
    </w:p>
    <w:p w:rsidR="00D6182C" w:rsidRPr="00D6182C" w:rsidRDefault="00D6182C" w:rsidP="00D6182C">
      <w:pPr>
        <w:pStyle w:val="ListParagraph"/>
        <w:numPr>
          <w:ilvl w:val="0"/>
          <w:numId w:val="5"/>
        </w:numPr>
        <w:spacing w:line="360" w:lineRule="auto"/>
        <w:jc w:val="both"/>
        <w:rPr>
          <w:rFonts w:ascii="Arial" w:hAnsi="Arial" w:cs="Arial"/>
          <w:sz w:val="24"/>
          <w:szCs w:val="24"/>
        </w:rPr>
      </w:pPr>
      <w:r w:rsidRPr="00D6182C">
        <w:rPr>
          <w:rFonts w:ascii="Arial" w:hAnsi="Arial" w:cs="Arial"/>
          <w:sz w:val="24"/>
          <w:szCs w:val="24"/>
        </w:rPr>
        <w:t>IHA telephoned 2 of the 6 respondents to make sure everything was resolved and to confirm if the tenant was happy with the way IHA had dealt with it.</w:t>
      </w:r>
      <w:r w:rsidR="00F259D7">
        <w:rPr>
          <w:rFonts w:ascii="Arial" w:hAnsi="Arial" w:cs="Arial"/>
          <w:sz w:val="24"/>
          <w:szCs w:val="24"/>
        </w:rPr>
        <w:t xml:space="preserve">  However, one of these tenants noted in the survey that there were still ongoing issues.  This is despite the fact that the case has been closed by IHA.  </w:t>
      </w:r>
    </w:p>
    <w:p w:rsidR="00D6182C" w:rsidRDefault="00D6182C" w:rsidP="00740260">
      <w:pPr>
        <w:spacing w:line="360" w:lineRule="auto"/>
        <w:contextualSpacing/>
        <w:jc w:val="both"/>
        <w:rPr>
          <w:rFonts w:ascii="Arial" w:hAnsi="Arial" w:cs="Arial"/>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B72BA2" w:rsidRDefault="00B72BA2" w:rsidP="00740260">
      <w:pPr>
        <w:spacing w:line="360" w:lineRule="auto"/>
        <w:contextualSpacing/>
        <w:jc w:val="both"/>
        <w:rPr>
          <w:rFonts w:ascii="Arial" w:hAnsi="Arial" w:cs="Arial"/>
          <w:color w:val="FF0000"/>
          <w:sz w:val="24"/>
          <w:szCs w:val="24"/>
        </w:rPr>
      </w:pPr>
    </w:p>
    <w:p w:rsidR="00EB443B" w:rsidRDefault="00B72BA2" w:rsidP="00740260">
      <w:pPr>
        <w:spacing w:line="360" w:lineRule="auto"/>
        <w:contextualSpacing/>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5583C" w:rsidRPr="00B72BA2">
        <w:rPr>
          <w:rFonts w:ascii="Arial" w:hAnsi="Arial" w:cs="Arial"/>
          <w:sz w:val="24"/>
          <w:szCs w:val="24"/>
        </w:rPr>
        <w:t>Review of closing conversations</w:t>
      </w:r>
    </w:p>
    <w:p w:rsidR="00B72BA2" w:rsidRPr="00B72BA2" w:rsidRDefault="00B72BA2" w:rsidP="00740260">
      <w:pPr>
        <w:spacing w:line="360" w:lineRule="auto"/>
        <w:contextualSpacing/>
        <w:jc w:val="both"/>
        <w:rPr>
          <w:rFonts w:ascii="Arial" w:hAnsi="Arial" w:cs="Arial"/>
          <w:sz w:val="24"/>
          <w:szCs w:val="24"/>
        </w:rPr>
      </w:pPr>
    </w:p>
    <w:p w:rsidR="00E5583C" w:rsidRPr="00B72BA2" w:rsidRDefault="00E5583C" w:rsidP="00740260">
      <w:pPr>
        <w:spacing w:line="360" w:lineRule="auto"/>
        <w:contextualSpacing/>
        <w:jc w:val="both"/>
        <w:rPr>
          <w:rFonts w:ascii="Arial" w:hAnsi="Arial" w:cs="Arial"/>
          <w:sz w:val="24"/>
          <w:szCs w:val="24"/>
        </w:rPr>
      </w:pPr>
      <w:r w:rsidRPr="00B72BA2">
        <w:rPr>
          <w:rFonts w:ascii="Arial" w:hAnsi="Arial" w:cs="Arial"/>
          <w:sz w:val="24"/>
          <w:szCs w:val="24"/>
        </w:rPr>
        <w:t>We carried out a review of the closing conversations which</w:t>
      </w:r>
      <w:r w:rsidR="00B72BA2" w:rsidRPr="00B72BA2">
        <w:rPr>
          <w:rFonts w:ascii="Arial" w:hAnsi="Arial" w:cs="Arial"/>
          <w:sz w:val="24"/>
          <w:szCs w:val="24"/>
        </w:rPr>
        <w:t xml:space="preserve"> generally</w:t>
      </w:r>
      <w:r w:rsidRPr="00B72BA2">
        <w:rPr>
          <w:rFonts w:ascii="Arial" w:hAnsi="Arial" w:cs="Arial"/>
          <w:sz w:val="24"/>
          <w:szCs w:val="24"/>
        </w:rPr>
        <w:t xml:space="preserve"> take place approximately </w:t>
      </w:r>
      <w:r w:rsidR="00B72BA2" w:rsidRPr="00B72BA2">
        <w:rPr>
          <w:rFonts w:ascii="Arial" w:hAnsi="Arial" w:cs="Arial"/>
          <w:sz w:val="24"/>
          <w:szCs w:val="24"/>
        </w:rPr>
        <w:t xml:space="preserve">one month </w:t>
      </w:r>
      <w:r w:rsidRPr="00B72BA2">
        <w:rPr>
          <w:rFonts w:ascii="Arial" w:hAnsi="Arial" w:cs="Arial"/>
          <w:sz w:val="24"/>
          <w:szCs w:val="24"/>
        </w:rPr>
        <w:t>after the antisocial behaviour case has been closed.  The report which the group were presented with failed to give any meaningful information.  We also looked at the questions asked in the closing conversation and would suggest that a review of these questions be undertaken with particular emphasis on open-ended questions which would provide more meaningful insight.  It was explained to the group that the tenant is not asked if they are satisfied at this point – it is staff’s perception of the situation and tone of the conversation that informs this point.  It may be beneficial to include a question specifically asking about satisfaction.  At the present time, where cases are noted as being unsatisfied, there is no follow-up action.  Bearing in mind that this is not an anonymous survey but staff perception</w:t>
      </w:r>
      <w:r w:rsidR="0065658D">
        <w:rPr>
          <w:rFonts w:ascii="Arial" w:hAnsi="Arial" w:cs="Arial"/>
          <w:sz w:val="24"/>
          <w:szCs w:val="24"/>
        </w:rPr>
        <w:t>,</w:t>
      </w:r>
      <w:r w:rsidRPr="00B72BA2">
        <w:rPr>
          <w:rFonts w:ascii="Arial" w:hAnsi="Arial" w:cs="Arial"/>
          <w:sz w:val="24"/>
          <w:szCs w:val="24"/>
        </w:rPr>
        <w:t xml:space="preserve"> we recommend that these cases be reviewed to see if anything further can be done</w:t>
      </w:r>
      <w:r w:rsidR="00B72BA2" w:rsidRPr="00B72BA2">
        <w:rPr>
          <w:rFonts w:ascii="Arial" w:hAnsi="Arial" w:cs="Arial"/>
          <w:sz w:val="24"/>
          <w:szCs w:val="24"/>
        </w:rPr>
        <w:t xml:space="preserve"> to assist our customers</w:t>
      </w:r>
      <w:r w:rsidRPr="00B72BA2">
        <w:rPr>
          <w:rFonts w:ascii="Arial" w:hAnsi="Arial" w:cs="Arial"/>
          <w:sz w:val="24"/>
          <w:szCs w:val="24"/>
        </w:rPr>
        <w:t xml:space="preserve">.  </w:t>
      </w:r>
    </w:p>
    <w:p w:rsidR="00B72BA2" w:rsidRDefault="00B72BA2" w:rsidP="00740260">
      <w:pPr>
        <w:spacing w:line="360" w:lineRule="auto"/>
        <w:contextualSpacing/>
        <w:jc w:val="both"/>
        <w:rPr>
          <w:rFonts w:ascii="Arial" w:hAnsi="Arial" w:cs="Arial"/>
          <w:color w:val="365F91"/>
          <w:sz w:val="24"/>
          <w:szCs w:val="24"/>
        </w:rPr>
      </w:pPr>
    </w:p>
    <w:p w:rsidR="00B72BA2" w:rsidRPr="003D7932" w:rsidRDefault="00B72BA2" w:rsidP="00740260">
      <w:pPr>
        <w:spacing w:line="360" w:lineRule="auto"/>
        <w:contextualSpacing/>
        <w:jc w:val="both"/>
        <w:rPr>
          <w:rFonts w:ascii="Arial" w:hAnsi="Arial" w:cs="Arial"/>
          <w:color w:val="365F91"/>
          <w:sz w:val="24"/>
          <w:szCs w:val="24"/>
        </w:rPr>
      </w:pPr>
    </w:p>
    <w:p w:rsidR="007E224D" w:rsidRDefault="00B72BA2" w:rsidP="00740260">
      <w:pPr>
        <w:spacing w:line="360" w:lineRule="auto"/>
        <w:contextualSpacing/>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E224D" w:rsidRPr="00B72BA2">
        <w:rPr>
          <w:rFonts w:ascii="Arial" w:hAnsi="Arial" w:cs="Arial"/>
          <w:sz w:val="24"/>
          <w:szCs w:val="24"/>
        </w:rPr>
        <w:t xml:space="preserve">Review of </w:t>
      </w:r>
      <w:r>
        <w:rPr>
          <w:rFonts w:ascii="Arial" w:hAnsi="Arial" w:cs="Arial"/>
          <w:sz w:val="24"/>
          <w:szCs w:val="24"/>
        </w:rPr>
        <w:t xml:space="preserve">Irvine Housing Association </w:t>
      </w:r>
      <w:r w:rsidR="007E224D" w:rsidRPr="00B72BA2">
        <w:rPr>
          <w:rFonts w:ascii="Arial" w:hAnsi="Arial" w:cs="Arial"/>
          <w:sz w:val="24"/>
          <w:szCs w:val="24"/>
        </w:rPr>
        <w:t>website</w:t>
      </w:r>
    </w:p>
    <w:p w:rsidR="00B72BA2" w:rsidRPr="00B72BA2" w:rsidRDefault="00B72BA2" w:rsidP="00740260">
      <w:pPr>
        <w:spacing w:line="360" w:lineRule="auto"/>
        <w:contextualSpacing/>
        <w:jc w:val="both"/>
        <w:rPr>
          <w:rFonts w:ascii="Arial" w:hAnsi="Arial" w:cs="Arial"/>
          <w:sz w:val="24"/>
          <w:szCs w:val="24"/>
        </w:rPr>
      </w:pPr>
    </w:p>
    <w:p w:rsidR="00874097" w:rsidRDefault="00874097" w:rsidP="00740260">
      <w:pPr>
        <w:spacing w:line="360" w:lineRule="auto"/>
        <w:contextualSpacing/>
        <w:jc w:val="both"/>
        <w:rPr>
          <w:rFonts w:ascii="Arial" w:hAnsi="Arial" w:cs="Arial"/>
          <w:sz w:val="24"/>
          <w:szCs w:val="24"/>
        </w:rPr>
      </w:pPr>
      <w:r>
        <w:rPr>
          <w:rFonts w:ascii="Arial" w:hAnsi="Arial" w:cs="Arial"/>
          <w:sz w:val="24"/>
          <w:szCs w:val="24"/>
        </w:rPr>
        <w:t>The Estate Services Quality Group reviewed the information provided on Irvine Housing Association’s website in relation to anti-social behaviour.  The group acknowledge that the entire website is under review at present but significant failings exist which could be remedied immediately.  These include out-of-date information and broken links to other areas of the site and to external sites</w:t>
      </w:r>
      <w:r w:rsidRPr="00B72BA2">
        <w:rPr>
          <w:rFonts w:ascii="Arial" w:hAnsi="Arial" w:cs="Arial"/>
          <w:sz w:val="24"/>
          <w:szCs w:val="24"/>
        </w:rPr>
        <w:t>.  The group would suggest that nominated staff require to take control of reviewing specific areas of the site on regular and ongoing basis.</w:t>
      </w:r>
      <w:r>
        <w:rPr>
          <w:rFonts w:ascii="Arial" w:hAnsi="Arial" w:cs="Arial"/>
          <w:sz w:val="24"/>
          <w:szCs w:val="24"/>
        </w:rPr>
        <w:t xml:space="preserve">  The group also note that immediate improvements were made such as fixing broken links as soon as these were brought to the attention of Irvine Housing Association. </w:t>
      </w:r>
    </w:p>
    <w:p w:rsidR="00B72BA2" w:rsidRDefault="00B72BA2" w:rsidP="00740260">
      <w:pPr>
        <w:spacing w:line="360" w:lineRule="auto"/>
        <w:contextualSpacing/>
        <w:jc w:val="both"/>
        <w:rPr>
          <w:rFonts w:ascii="Arial" w:hAnsi="Arial" w:cs="Arial"/>
          <w:sz w:val="24"/>
          <w:szCs w:val="24"/>
        </w:rPr>
      </w:pPr>
    </w:p>
    <w:p w:rsidR="00B72BA2" w:rsidRDefault="00B72BA2" w:rsidP="00740260">
      <w:pPr>
        <w:spacing w:line="360" w:lineRule="auto"/>
        <w:contextualSpacing/>
        <w:jc w:val="both"/>
        <w:rPr>
          <w:rFonts w:ascii="Arial" w:hAnsi="Arial" w:cs="Arial"/>
          <w:sz w:val="24"/>
          <w:szCs w:val="24"/>
        </w:rPr>
      </w:pPr>
    </w:p>
    <w:p w:rsidR="00B72BA2" w:rsidRDefault="00B72BA2" w:rsidP="00740260">
      <w:pPr>
        <w:spacing w:line="360" w:lineRule="auto"/>
        <w:contextualSpacing/>
        <w:jc w:val="both"/>
        <w:rPr>
          <w:rFonts w:ascii="Arial" w:hAnsi="Arial" w:cs="Arial"/>
          <w:sz w:val="24"/>
          <w:szCs w:val="24"/>
        </w:rPr>
      </w:pPr>
    </w:p>
    <w:p w:rsidR="00B72BA2" w:rsidRDefault="00B72BA2" w:rsidP="00740260">
      <w:pPr>
        <w:spacing w:line="360" w:lineRule="auto"/>
        <w:contextualSpacing/>
        <w:jc w:val="both"/>
        <w:rPr>
          <w:rFonts w:ascii="Arial" w:hAnsi="Arial" w:cs="Arial"/>
          <w:sz w:val="24"/>
          <w:szCs w:val="24"/>
        </w:rPr>
      </w:pPr>
    </w:p>
    <w:p w:rsidR="00B72BA2" w:rsidRDefault="00B72BA2" w:rsidP="00740260">
      <w:pPr>
        <w:spacing w:line="360" w:lineRule="auto"/>
        <w:contextualSpacing/>
        <w:jc w:val="both"/>
        <w:rPr>
          <w:rFonts w:ascii="Arial" w:hAnsi="Arial" w:cs="Arial"/>
          <w:sz w:val="24"/>
          <w:szCs w:val="24"/>
        </w:rPr>
      </w:pPr>
    </w:p>
    <w:p w:rsidR="00B72BA2" w:rsidRDefault="00B72BA2" w:rsidP="00740260">
      <w:pPr>
        <w:spacing w:line="360" w:lineRule="auto"/>
        <w:contextualSpacing/>
        <w:jc w:val="both"/>
        <w:rPr>
          <w:rFonts w:ascii="Arial" w:hAnsi="Arial" w:cs="Arial"/>
          <w:sz w:val="24"/>
          <w:szCs w:val="24"/>
        </w:rPr>
      </w:pPr>
    </w:p>
    <w:p w:rsidR="00B72BA2" w:rsidRPr="00B72BA2" w:rsidRDefault="00B72BA2" w:rsidP="00740260">
      <w:pPr>
        <w:spacing w:line="360" w:lineRule="auto"/>
        <w:contextualSpacing/>
        <w:jc w:val="both"/>
        <w:rPr>
          <w:rFonts w:ascii="Arial" w:hAnsi="Arial" w:cs="Arial"/>
          <w:sz w:val="24"/>
          <w:szCs w:val="24"/>
        </w:rPr>
      </w:pPr>
      <w:r>
        <w:rPr>
          <w:rFonts w:ascii="Arial" w:hAnsi="Arial" w:cs="Arial"/>
          <w:sz w:val="24"/>
          <w:szCs w:val="24"/>
        </w:rPr>
        <w:t>2.7</w:t>
      </w:r>
      <w:r>
        <w:rPr>
          <w:rFonts w:ascii="Arial" w:hAnsi="Arial" w:cs="Arial"/>
          <w:sz w:val="24"/>
          <w:szCs w:val="24"/>
        </w:rPr>
        <w:tab/>
        <w:t>North Ayrshire Council – Anti Social Behaviour Investigation Team (ASBIT)</w:t>
      </w:r>
    </w:p>
    <w:p w:rsidR="00B72BA2" w:rsidRDefault="00B72BA2" w:rsidP="00740260">
      <w:pPr>
        <w:spacing w:line="360" w:lineRule="auto"/>
        <w:contextualSpacing/>
        <w:jc w:val="both"/>
        <w:rPr>
          <w:rFonts w:ascii="Arial" w:hAnsi="Arial" w:cs="Arial"/>
          <w:sz w:val="24"/>
          <w:szCs w:val="24"/>
          <w:u w:val="single"/>
        </w:rPr>
      </w:pPr>
    </w:p>
    <w:p w:rsidR="00CF53EF" w:rsidRDefault="00CE7DA3" w:rsidP="00737026">
      <w:pPr>
        <w:spacing w:line="360" w:lineRule="auto"/>
        <w:contextualSpacing/>
        <w:jc w:val="both"/>
        <w:rPr>
          <w:rFonts w:ascii="Arial" w:hAnsi="Arial" w:cs="Arial"/>
          <w:color w:val="FF0000"/>
          <w:sz w:val="24"/>
          <w:szCs w:val="24"/>
        </w:rPr>
      </w:pPr>
      <w:r>
        <w:rPr>
          <w:rFonts w:ascii="Arial" w:hAnsi="Arial" w:cs="Arial"/>
          <w:sz w:val="24"/>
          <w:szCs w:val="24"/>
        </w:rPr>
        <w:t xml:space="preserve">We interviewed </w:t>
      </w:r>
      <w:r w:rsidR="00AC4E50">
        <w:rPr>
          <w:rFonts w:ascii="Arial" w:hAnsi="Arial" w:cs="Arial"/>
          <w:sz w:val="24"/>
          <w:szCs w:val="24"/>
        </w:rPr>
        <w:t>Ann Ferguson</w:t>
      </w:r>
      <w:r w:rsidR="00B72BA2">
        <w:rPr>
          <w:rFonts w:ascii="Arial" w:hAnsi="Arial" w:cs="Arial"/>
          <w:sz w:val="24"/>
          <w:szCs w:val="24"/>
        </w:rPr>
        <w:t xml:space="preserve"> f</w:t>
      </w:r>
      <w:r>
        <w:rPr>
          <w:rFonts w:ascii="Arial" w:hAnsi="Arial" w:cs="Arial"/>
          <w:sz w:val="24"/>
          <w:szCs w:val="24"/>
        </w:rPr>
        <w:t xml:space="preserve">rom North Ayrshire Council’s </w:t>
      </w:r>
      <w:r w:rsidR="00AC4E50">
        <w:rPr>
          <w:rFonts w:ascii="Arial" w:hAnsi="Arial" w:cs="Arial"/>
          <w:sz w:val="24"/>
          <w:szCs w:val="24"/>
        </w:rPr>
        <w:t>Anti Social Behaviour Investigation Team (</w:t>
      </w:r>
      <w:r>
        <w:rPr>
          <w:rFonts w:ascii="Arial" w:hAnsi="Arial" w:cs="Arial"/>
          <w:sz w:val="24"/>
          <w:szCs w:val="24"/>
        </w:rPr>
        <w:t>ASBIT</w:t>
      </w:r>
      <w:r w:rsidR="00AC4E50">
        <w:rPr>
          <w:rFonts w:ascii="Arial" w:hAnsi="Arial" w:cs="Arial"/>
          <w:sz w:val="24"/>
          <w:szCs w:val="24"/>
        </w:rPr>
        <w:t>)</w:t>
      </w:r>
      <w:r w:rsidR="00B72BA2">
        <w:rPr>
          <w:rFonts w:ascii="Arial" w:hAnsi="Arial" w:cs="Arial"/>
          <w:sz w:val="24"/>
          <w:szCs w:val="24"/>
        </w:rPr>
        <w:t>.  This ga</w:t>
      </w:r>
      <w:r>
        <w:rPr>
          <w:rFonts w:ascii="Arial" w:hAnsi="Arial" w:cs="Arial"/>
          <w:sz w:val="24"/>
          <w:szCs w:val="24"/>
        </w:rPr>
        <w:t xml:space="preserve">ve us a </w:t>
      </w:r>
      <w:r w:rsidR="00B72BA2">
        <w:rPr>
          <w:rFonts w:ascii="Arial" w:hAnsi="Arial" w:cs="Arial"/>
          <w:sz w:val="24"/>
          <w:szCs w:val="24"/>
        </w:rPr>
        <w:t xml:space="preserve">much </w:t>
      </w:r>
      <w:r>
        <w:rPr>
          <w:rFonts w:ascii="Arial" w:hAnsi="Arial" w:cs="Arial"/>
          <w:sz w:val="24"/>
          <w:szCs w:val="24"/>
        </w:rPr>
        <w:t>greater insight into the partners</w:t>
      </w:r>
      <w:r w:rsidR="00AC4E50">
        <w:rPr>
          <w:rFonts w:ascii="Arial" w:hAnsi="Arial" w:cs="Arial"/>
          <w:sz w:val="24"/>
          <w:szCs w:val="24"/>
        </w:rPr>
        <w:t xml:space="preserve">hip working between IHA and NAC.  Although the majority of cases are handled by IHA, for cases that require further investigation, perhaps through surveillance or noise monitoring, these would be passed to ASBIT.  </w:t>
      </w:r>
      <w:r w:rsidR="00B72BA2">
        <w:rPr>
          <w:rFonts w:ascii="Arial" w:hAnsi="Arial" w:cs="Arial"/>
          <w:sz w:val="24"/>
          <w:szCs w:val="24"/>
        </w:rPr>
        <w:t>This session highlighted</w:t>
      </w:r>
      <w:r w:rsidR="003D7932">
        <w:rPr>
          <w:rFonts w:ascii="Arial" w:hAnsi="Arial" w:cs="Arial"/>
          <w:sz w:val="24"/>
          <w:szCs w:val="24"/>
        </w:rPr>
        <w:t xml:space="preserve"> the work that goes on behind the scenes with regards to anti social behaviour</w:t>
      </w:r>
      <w:r w:rsidR="00737026">
        <w:rPr>
          <w:rFonts w:ascii="Arial" w:hAnsi="Arial" w:cs="Arial"/>
          <w:sz w:val="24"/>
          <w:szCs w:val="24"/>
        </w:rPr>
        <w:t xml:space="preserve">.  </w:t>
      </w:r>
    </w:p>
    <w:p w:rsidR="00874097" w:rsidRDefault="00874097" w:rsidP="002F2B26">
      <w:pPr>
        <w:rPr>
          <w:rFonts w:ascii="Arial" w:hAnsi="Arial" w:cs="Arial"/>
          <w:sz w:val="24"/>
          <w:szCs w:val="24"/>
        </w:rPr>
      </w:pPr>
    </w:p>
    <w:p w:rsidR="003D7932" w:rsidRDefault="00737026" w:rsidP="002F2B26">
      <w:pPr>
        <w:rPr>
          <w:rFonts w:ascii="Arial" w:hAnsi="Arial" w:cs="Arial"/>
          <w:sz w:val="24"/>
          <w:szCs w:val="24"/>
        </w:rPr>
      </w:pPr>
      <w:r>
        <w:rPr>
          <w:rFonts w:ascii="Arial" w:hAnsi="Arial" w:cs="Arial"/>
          <w:sz w:val="24"/>
          <w:szCs w:val="24"/>
        </w:rPr>
        <w:t>3.</w:t>
      </w:r>
      <w:r>
        <w:rPr>
          <w:rFonts w:ascii="Arial" w:hAnsi="Arial" w:cs="Arial"/>
          <w:sz w:val="24"/>
          <w:szCs w:val="24"/>
        </w:rPr>
        <w:tab/>
        <w:t>Summary of findings</w:t>
      </w:r>
    </w:p>
    <w:p w:rsidR="00737026" w:rsidRDefault="00737026" w:rsidP="00737026">
      <w:pPr>
        <w:spacing w:line="360" w:lineRule="auto"/>
        <w:jc w:val="both"/>
        <w:rPr>
          <w:rFonts w:ascii="Arial" w:hAnsi="Arial" w:cs="Arial"/>
          <w:sz w:val="24"/>
          <w:szCs w:val="24"/>
        </w:rPr>
      </w:pPr>
    </w:p>
    <w:p w:rsidR="00737026" w:rsidRDefault="00737026" w:rsidP="00737026">
      <w:pPr>
        <w:spacing w:line="360" w:lineRule="auto"/>
        <w:jc w:val="both"/>
        <w:rPr>
          <w:rFonts w:ascii="Arial" w:hAnsi="Arial" w:cs="Arial"/>
          <w:sz w:val="24"/>
          <w:szCs w:val="24"/>
        </w:rPr>
      </w:pPr>
      <w:r>
        <w:rPr>
          <w:rFonts w:ascii="Arial" w:hAnsi="Arial" w:cs="Arial"/>
          <w:sz w:val="24"/>
          <w:szCs w:val="24"/>
        </w:rPr>
        <w:t xml:space="preserve">The focus of this scrutiny exercise has been to determine the reasons why our customers are not satisfied with the antisocial behaviour service.  Within the course of our investigations, we found evidence of good practice such as the excellent working relationships between IHA and NAC but we also found some areas which may be having a negative impact on satisfaction levels.  It is unrealistic to expect that every customer who experiences our antisocial behaviour service will be satisfied but what we need to ensure is that we do everything in our power to help our customers, including, where appropriate, signposting to other agencies who can help.  We recognise that the majority of antisocial behaviour which is reported every year is low level such as dog fouling.  </w:t>
      </w:r>
      <w:r w:rsidR="003E5F16">
        <w:rPr>
          <w:rFonts w:ascii="Arial" w:hAnsi="Arial" w:cs="Arial"/>
          <w:sz w:val="24"/>
          <w:szCs w:val="24"/>
        </w:rPr>
        <w:t xml:space="preserve">What we need to ensure however is that we handle the more serious cases appropriately and there is certainly no ‘one size fits all’ approach to this.  </w:t>
      </w:r>
    </w:p>
    <w:p w:rsidR="00737026" w:rsidRDefault="00737026" w:rsidP="00737026">
      <w:pPr>
        <w:spacing w:line="360" w:lineRule="auto"/>
        <w:jc w:val="both"/>
        <w:rPr>
          <w:rFonts w:ascii="Arial" w:hAnsi="Arial" w:cs="Arial"/>
          <w:sz w:val="24"/>
          <w:szCs w:val="24"/>
        </w:rPr>
      </w:pPr>
    </w:p>
    <w:p w:rsidR="003E5F16" w:rsidRDefault="003E5F16" w:rsidP="00737026">
      <w:pPr>
        <w:spacing w:line="360" w:lineRule="auto"/>
        <w:jc w:val="both"/>
        <w:rPr>
          <w:rFonts w:ascii="Arial" w:hAnsi="Arial" w:cs="Arial"/>
          <w:sz w:val="24"/>
          <w:szCs w:val="24"/>
        </w:rPr>
      </w:pPr>
    </w:p>
    <w:p w:rsidR="003E5F16" w:rsidRDefault="003E5F16" w:rsidP="00737026">
      <w:pPr>
        <w:spacing w:line="360" w:lineRule="auto"/>
        <w:jc w:val="both"/>
        <w:rPr>
          <w:rFonts w:ascii="Arial" w:hAnsi="Arial" w:cs="Arial"/>
          <w:sz w:val="24"/>
          <w:szCs w:val="24"/>
        </w:rPr>
      </w:pPr>
    </w:p>
    <w:p w:rsidR="003E5F16" w:rsidRDefault="003E5F16" w:rsidP="00737026">
      <w:pPr>
        <w:spacing w:line="360" w:lineRule="auto"/>
        <w:jc w:val="both"/>
        <w:rPr>
          <w:rFonts w:ascii="Arial" w:hAnsi="Arial" w:cs="Arial"/>
          <w:sz w:val="24"/>
          <w:szCs w:val="24"/>
        </w:rPr>
      </w:pPr>
    </w:p>
    <w:p w:rsidR="003E5F16" w:rsidRDefault="003E5F16" w:rsidP="00737026">
      <w:pPr>
        <w:spacing w:line="360" w:lineRule="auto"/>
        <w:jc w:val="both"/>
        <w:rPr>
          <w:rFonts w:ascii="Arial" w:hAnsi="Arial" w:cs="Arial"/>
          <w:sz w:val="24"/>
          <w:szCs w:val="24"/>
        </w:rPr>
      </w:pPr>
    </w:p>
    <w:p w:rsidR="003E5F16" w:rsidRDefault="003E5F16" w:rsidP="00737026">
      <w:pPr>
        <w:spacing w:line="360" w:lineRule="auto"/>
        <w:jc w:val="both"/>
        <w:rPr>
          <w:rFonts w:ascii="Arial" w:hAnsi="Arial" w:cs="Arial"/>
          <w:sz w:val="24"/>
          <w:szCs w:val="24"/>
        </w:rPr>
      </w:pPr>
    </w:p>
    <w:p w:rsidR="00183D2B" w:rsidRPr="003E5F16" w:rsidRDefault="003E5F16" w:rsidP="00183D2B">
      <w:pPr>
        <w:rPr>
          <w:rFonts w:ascii="Arial" w:hAnsi="Arial" w:cs="Arial"/>
          <w:sz w:val="24"/>
          <w:szCs w:val="24"/>
        </w:rPr>
      </w:pPr>
      <w:r w:rsidRPr="003E5F16">
        <w:rPr>
          <w:rFonts w:ascii="Arial" w:hAnsi="Arial" w:cs="Arial"/>
          <w:sz w:val="24"/>
          <w:szCs w:val="24"/>
        </w:rPr>
        <w:t>4.</w:t>
      </w:r>
      <w:r w:rsidRPr="003E5F16">
        <w:rPr>
          <w:rFonts w:ascii="Arial" w:hAnsi="Arial" w:cs="Arial"/>
          <w:sz w:val="24"/>
          <w:szCs w:val="24"/>
        </w:rPr>
        <w:tab/>
      </w:r>
      <w:r w:rsidR="00183D2B" w:rsidRPr="003E5F16">
        <w:rPr>
          <w:rFonts w:ascii="Arial" w:hAnsi="Arial" w:cs="Arial"/>
          <w:sz w:val="24"/>
          <w:szCs w:val="24"/>
        </w:rPr>
        <w:t>Recommendations</w:t>
      </w:r>
    </w:p>
    <w:p w:rsidR="00183D2B" w:rsidRDefault="00183D2B" w:rsidP="00183D2B">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83D2B" w:rsidRPr="009C2096" w:rsidTr="009C2096">
        <w:tc>
          <w:tcPr>
            <w:tcW w:w="3080" w:type="dxa"/>
            <w:shd w:val="clear" w:color="auto" w:fill="auto"/>
          </w:tcPr>
          <w:p w:rsidR="00183D2B" w:rsidRPr="009C2096" w:rsidRDefault="00183D2B" w:rsidP="009C2096">
            <w:pPr>
              <w:rPr>
                <w:rFonts w:ascii="Arial" w:hAnsi="Arial" w:cs="Arial"/>
                <w:b/>
                <w:sz w:val="24"/>
                <w:szCs w:val="24"/>
              </w:rPr>
            </w:pPr>
            <w:r w:rsidRPr="009C2096">
              <w:rPr>
                <w:rFonts w:ascii="Arial" w:hAnsi="Arial" w:cs="Arial"/>
                <w:b/>
                <w:sz w:val="24"/>
                <w:szCs w:val="24"/>
              </w:rPr>
              <w:t>Recommendation</w:t>
            </w:r>
          </w:p>
        </w:tc>
        <w:tc>
          <w:tcPr>
            <w:tcW w:w="3081" w:type="dxa"/>
            <w:shd w:val="clear" w:color="auto" w:fill="auto"/>
          </w:tcPr>
          <w:p w:rsidR="00183D2B" w:rsidRPr="009C2096" w:rsidRDefault="00183D2B" w:rsidP="009C2096">
            <w:pPr>
              <w:rPr>
                <w:rFonts w:ascii="Arial" w:hAnsi="Arial" w:cs="Arial"/>
                <w:b/>
                <w:sz w:val="24"/>
                <w:szCs w:val="24"/>
              </w:rPr>
            </w:pPr>
            <w:r w:rsidRPr="009C2096">
              <w:rPr>
                <w:rFonts w:ascii="Arial" w:hAnsi="Arial" w:cs="Arial"/>
                <w:b/>
                <w:sz w:val="24"/>
                <w:szCs w:val="24"/>
              </w:rPr>
              <w:t>Why we are recommending this</w:t>
            </w:r>
          </w:p>
        </w:tc>
        <w:tc>
          <w:tcPr>
            <w:tcW w:w="3081" w:type="dxa"/>
            <w:shd w:val="clear" w:color="auto" w:fill="auto"/>
          </w:tcPr>
          <w:p w:rsidR="00183D2B" w:rsidRPr="009C2096" w:rsidRDefault="00183D2B" w:rsidP="009C2096">
            <w:pPr>
              <w:rPr>
                <w:rFonts w:ascii="Arial" w:hAnsi="Arial" w:cs="Arial"/>
                <w:b/>
                <w:sz w:val="24"/>
                <w:szCs w:val="24"/>
              </w:rPr>
            </w:pPr>
            <w:r w:rsidRPr="009C2096">
              <w:rPr>
                <w:rFonts w:ascii="Arial" w:hAnsi="Arial" w:cs="Arial"/>
                <w:b/>
                <w:sz w:val="24"/>
                <w:szCs w:val="24"/>
              </w:rPr>
              <w:t>Timescale</w:t>
            </w:r>
          </w:p>
        </w:tc>
      </w:tr>
      <w:tr w:rsidR="00183D2B" w:rsidRPr="009C2096" w:rsidTr="009C2096">
        <w:tc>
          <w:tcPr>
            <w:tcW w:w="3080" w:type="dxa"/>
            <w:shd w:val="clear" w:color="auto" w:fill="auto"/>
          </w:tcPr>
          <w:p w:rsidR="00183D2B" w:rsidRPr="009C2096" w:rsidRDefault="00E5583C" w:rsidP="009C2096">
            <w:pPr>
              <w:rPr>
                <w:rFonts w:ascii="Arial" w:hAnsi="Arial" w:cs="Arial"/>
                <w:b/>
                <w:sz w:val="24"/>
                <w:szCs w:val="24"/>
              </w:rPr>
            </w:pPr>
            <w:r>
              <w:rPr>
                <w:rFonts w:ascii="Arial" w:hAnsi="Arial" w:cs="Arial"/>
                <w:b/>
                <w:sz w:val="24"/>
                <w:szCs w:val="24"/>
              </w:rPr>
              <w:t>Closing conversation – review of questions asked</w:t>
            </w:r>
            <w:r w:rsidR="0054760E">
              <w:rPr>
                <w:rFonts w:ascii="Arial" w:hAnsi="Arial" w:cs="Arial"/>
                <w:b/>
                <w:sz w:val="24"/>
                <w:szCs w:val="24"/>
              </w:rPr>
              <w:t xml:space="preserve"> </w:t>
            </w:r>
          </w:p>
        </w:tc>
        <w:tc>
          <w:tcPr>
            <w:tcW w:w="3081" w:type="dxa"/>
            <w:shd w:val="clear" w:color="auto" w:fill="auto"/>
          </w:tcPr>
          <w:p w:rsidR="00183D2B" w:rsidRDefault="0054760E" w:rsidP="009C2096">
            <w:pPr>
              <w:rPr>
                <w:rFonts w:ascii="Arial" w:hAnsi="Arial" w:cs="Arial"/>
                <w:b/>
                <w:sz w:val="24"/>
                <w:szCs w:val="24"/>
              </w:rPr>
            </w:pPr>
            <w:r>
              <w:rPr>
                <w:rFonts w:ascii="Arial" w:hAnsi="Arial" w:cs="Arial"/>
                <w:b/>
                <w:sz w:val="24"/>
                <w:szCs w:val="24"/>
              </w:rPr>
              <w:t>To ensure that we are asking the appropriate questions</w:t>
            </w:r>
          </w:p>
          <w:p w:rsidR="00F259D7" w:rsidRDefault="00F259D7" w:rsidP="009C2096">
            <w:pPr>
              <w:rPr>
                <w:rFonts w:ascii="Arial" w:hAnsi="Arial" w:cs="Arial"/>
                <w:b/>
                <w:sz w:val="24"/>
                <w:szCs w:val="24"/>
              </w:rPr>
            </w:pPr>
            <w:r>
              <w:rPr>
                <w:rFonts w:ascii="Arial" w:hAnsi="Arial" w:cs="Arial"/>
                <w:b/>
                <w:sz w:val="24"/>
                <w:szCs w:val="24"/>
              </w:rPr>
              <w:t>Include specific question about how satisfied the customer is with how the case was handled</w:t>
            </w:r>
          </w:p>
          <w:p w:rsidR="00F259D7" w:rsidRPr="009C2096" w:rsidRDefault="00F259D7" w:rsidP="009C2096">
            <w:pPr>
              <w:rPr>
                <w:rFonts w:ascii="Arial" w:hAnsi="Arial" w:cs="Arial"/>
                <w:b/>
                <w:sz w:val="24"/>
                <w:szCs w:val="24"/>
              </w:rPr>
            </w:pPr>
          </w:p>
        </w:tc>
        <w:tc>
          <w:tcPr>
            <w:tcW w:w="3081" w:type="dxa"/>
            <w:shd w:val="clear" w:color="auto" w:fill="auto"/>
          </w:tcPr>
          <w:p w:rsidR="00183D2B" w:rsidRPr="009C2096" w:rsidRDefault="00A70228" w:rsidP="009C2096">
            <w:pPr>
              <w:rPr>
                <w:rFonts w:ascii="Arial" w:hAnsi="Arial" w:cs="Arial"/>
                <w:b/>
                <w:sz w:val="24"/>
                <w:szCs w:val="24"/>
              </w:rPr>
            </w:pPr>
            <w:r>
              <w:rPr>
                <w:rFonts w:ascii="Arial" w:hAnsi="Arial" w:cs="Arial"/>
                <w:b/>
                <w:sz w:val="24"/>
                <w:szCs w:val="24"/>
              </w:rPr>
              <w:t>July 2015</w:t>
            </w:r>
          </w:p>
        </w:tc>
      </w:tr>
      <w:tr w:rsidR="00183D2B" w:rsidRPr="009C2096" w:rsidTr="009C2096">
        <w:tc>
          <w:tcPr>
            <w:tcW w:w="3080" w:type="dxa"/>
            <w:shd w:val="clear" w:color="auto" w:fill="auto"/>
          </w:tcPr>
          <w:p w:rsidR="00183D2B" w:rsidRDefault="00E5583C" w:rsidP="009C2096">
            <w:pPr>
              <w:rPr>
                <w:rFonts w:ascii="Arial" w:hAnsi="Arial" w:cs="Arial"/>
                <w:b/>
                <w:sz w:val="24"/>
                <w:szCs w:val="24"/>
              </w:rPr>
            </w:pPr>
            <w:r>
              <w:rPr>
                <w:rFonts w:ascii="Arial" w:hAnsi="Arial" w:cs="Arial"/>
                <w:b/>
                <w:sz w:val="24"/>
                <w:szCs w:val="24"/>
              </w:rPr>
              <w:t xml:space="preserve">Closing conversation – unsatisfied </w:t>
            </w:r>
            <w:r w:rsidR="005376C8">
              <w:rPr>
                <w:rFonts w:ascii="Arial" w:hAnsi="Arial" w:cs="Arial"/>
                <w:b/>
                <w:sz w:val="24"/>
                <w:szCs w:val="24"/>
              </w:rPr>
              <w:t>responses to be reviewed</w:t>
            </w:r>
            <w:r w:rsidR="00376959">
              <w:rPr>
                <w:rFonts w:ascii="Arial" w:hAnsi="Arial" w:cs="Arial"/>
                <w:b/>
                <w:sz w:val="24"/>
                <w:szCs w:val="24"/>
              </w:rPr>
              <w:t xml:space="preserve"> and followed up where appropriate</w:t>
            </w:r>
          </w:p>
          <w:p w:rsidR="00F259D7" w:rsidRPr="009C2096" w:rsidRDefault="00F259D7" w:rsidP="009C2096">
            <w:pPr>
              <w:rPr>
                <w:rFonts w:ascii="Arial" w:hAnsi="Arial" w:cs="Arial"/>
                <w:b/>
                <w:sz w:val="24"/>
                <w:szCs w:val="24"/>
              </w:rPr>
            </w:pPr>
          </w:p>
        </w:tc>
        <w:tc>
          <w:tcPr>
            <w:tcW w:w="3081" w:type="dxa"/>
            <w:shd w:val="clear" w:color="auto" w:fill="auto"/>
          </w:tcPr>
          <w:p w:rsidR="00183D2B" w:rsidRPr="009C2096" w:rsidRDefault="00A70228" w:rsidP="009C2096">
            <w:pPr>
              <w:rPr>
                <w:rFonts w:ascii="Arial" w:hAnsi="Arial" w:cs="Arial"/>
                <w:b/>
                <w:sz w:val="24"/>
                <w:szCs w:val="24"/>
              </w:rPr>
            </w:pPr>
            <w:r>
              <w:rPr>
                <w:rFonts w:ascii="Arial" w:hAnsi="Arial" w:cs="Arial"/>
                <w:b/>
                <w:sz w:val="24"/>
                <w:szCs w:val="24"/>
              </w:rPr>
              <w:t>To ensure that cases are not closed when outstanding issues exist</w:t>
            </w:r>
          </w:p>
        </w:tc>
        <w:tc>
          <w:tcPr>
            <w:tcW w:w="3081" w:type="dxa"/>
            <w:shd w:val="clear" w:color="auto" w:fill="auto"/>
          </w:tcPr>
          <w:p w:rsidR="00183D2B" w:rsidRPr="009C2096" w:rsidRDefault="00A70228" w:rsidP="009C2096">
            <w:pPr>
              <w:rPr>
                <w:rFonts w:ascii="Arial" w:hAnsi="Arial" w:cs="Arial"/>
                <w:b/>
                <w:sz w:val="24"/>
                <w:szCs w:val="24"/>
              </w:rPr>
            </w:pPr>
            <w:r>
              <w:rPr>
                <w:rFonts w:ascii="Arial" w:hAnsi="Arial" w:cs="Arial"/>
                <w:b/>
                <w:sz w:val="24"/>
                <w:szCs w:val="24"/>
              </w:rPr>
              <w:t>Ongoing</w:t>
            </w:r>
          </w:p>
        </w:tc>
      </w:tr>
      <w:tr w:rsidR="00376959" w:rsidRPr="009C2096" w:rsidTr="009C2096">
        <w:tc>
          <w:tcPr>
            <w:tcW w:w="3080" w:type="dxa"/>
            <w:shd w:val="clear" w:color="auto" w:fill="auto"/>
          </w:tcPr>
          <w:p w:rsidR="00376959" w:rsidRDefault="00376959" w:rsidP="009C2096">
            <w:pPr>
              <w:rPr>
                <w:rFonts w:ascii="Arial" w:hAnsi="Arial" w:cs="Arial"/>
                <w:b/>
                <w:sz w:val="24"/>
                <w:szCs w:val="24"/>
              </w:rPr>
            </w:pPr>
            <w:r>
              <w:rPr>
                <w:rFonts w:ascii="Arial" w:hAnsi="Arial" w:cs="Arial"/>
                <w:b/>
                <w:sz w:val="24"/>
                <w:szCs w:val="24"/>
              </w:rPr>
              <w:t>Closing conversation – Senior Housing Officer to review on a regular basis</w:t>
            </w:r>
          </w:p>
        </w:tc>
        <w:tc>
          <w:tcPr>
            <w:tcW w:w="3081" w:type="dxa"/>
            <w:shd w:val="clear" w:color="auto" w:fill="auto"/>
          </w:tcPr>
          <w:p w:rsidR="00376959" w:rsidRPr="009C2096" w:rsidRDefault="00376959" w:rsidP="009C2096">
            <w:pPr>
              <w:rPr>
                <w:rFonts w:ascii="Arial" w:hAnsi="Arial" w:cs="Arial"/>
                <w:b/>
                <w:sz w:val="24"/>
                <w:szCs w:val="24"/>
              </w:rPr>
            </w:pPr>
            <w:r>
              <w:rPr>
                <w:rFonts w:ascii="Arial" w:hAnsi="Arial" w:cs="Arial"/>
                <w:b/>
                <w:sz w:val="24"/>
                <w:szCs w:val="24"/>
              </w:rPr>
              <w:t>To ensure consistency and high standards are being maintained and that any ‘unsatisfied’ customers are followed up</w:t>
            </w:r>
          </w:p>
        </w:tc>
        <w:tc>
          <w:tcPr>
            <w:tcW w:w="3081" w:type="dxa"/>
            <w:shd w:val="clear" w:color="auto" w:fill="auto"/>
          </w:tcPr>
          <w:p w:rsidR="00376959" w:rsidRPr="009C2096" w:rsidRDefault="00376959" w:rsidP="009C2096">
            <w:pPr>
              <w:rPr>
                <w:rFonts w:ascii="Arial" w:hAnsi="Arial" w:cs="Arial"/>
                <w:b/>
                <w:sz w:val="24"/>
                <w:szCs w:val="24"/>
              </w:rPr>
            </w:pPr>
            <w:r>
              <w:rPr>
                <w:rFonts w:ascii="Arial" w:hAnsi="Arial" w:cs="Arial"/>
                <w:b/>
                <w:sz w:val="24"/>
                <w:szCs w:val="24"/>
              </w:rPr>
              <w:t>Every six months</w:t>
            </w:r>
          </w:p>
        </w:tc>
      </w:tr>
      <w:tr w:rsidR="00183D2B" w:rsidRPr="009C2096" w:rsidTr="009C2096">
        <w:tc>
          <w:tcPr>
            <w:tcW w:w="3080" w:type="dxa"/>
            <w:shd w:val="clear" w:color="auto" w:fill="auto"/>
          </w:tcPr>
          <w:p w:rsidR="00183D2B" w:rsidRPr="009C2096" w:rsidRDefault="007E224D" w:rsidP="009C2096">
            <w:pPr>
              <w:rPr>
                <w:rFonts w:ascii="Arial" w:hAnsi="Arial" w:cs="Arial"/>
                <w:b/>
                <w:sz w:val="24"/>
                <w:szCs w:val="24"/>
              </w:rPr>
            </w:pPr>
            <w:r>
              <w:rPr>
                <w:rFonts w:ascii="Arial" w:hAnsi="Arial" w:cs="Arial"/>
                <w:b/>
                <w:sz w:val="24"/>
                <w:szCs w:val="24"/>
              </w:rPr>
              <w:t>Website – update information</w:t>
            </w:r>
          </w:p>
        </w:tc>
        <w:tc>
          <w:tcPr>
            <w:tcW w:w="3081" w:type="dxa"/>
            <w:shd w:val="clear" w:color="auto" w:fill="auto"/>
          </w:tcPr>
          <w:p w:rsidR="00183D2B" w:rsidRDefault="0054760E" w:rsidP="009C2096">
            <w:pPr>
              <w:rPr>
                <w:rFonts w:ascii="Arial" w:hAnsi="Arial" w:cs="Arial"/>
                <w:b/>
                <w:sz w:val="24"/>
                <w:szCs w:val="24"/>
              </w:rPr>
            </w:pPr>
            <w:r>
              <w:rPr>
                <w:rFonts w:ascii="Arial" w:hAnsi="Arial" w:cs="Arial"/>
                <w:b/>
                <w:sz w:val="24"/>
                <w:szCs w:val="24"/>
              </w:rPr>
              <w:t xml:space="preserve">To provide better information to customers on ASB </w:t>
            </w:r>
          </w:p>
          <w:p w:rsidR="00F259D7" w:rsidRPr="009C2096" w:rsidRDefault="00F259D7" w:rsidP="009C2096">
            <w:pPr>
              <w:rPr>
                <w:rFonts w:ascii="Arial" w:hAnsi="Arial" w:cs="Arial"/>
                <w:b/>
                <w:sz w:val="24"/>
                <w:szCs w:val="24"/>
              </w:rPr>
            </w:pPr>
          </w:p>
        </w:tc>
        <w:tc>
          <w:tcPr>
            <w:tcW w:w="3081" w:type="dxa"/>
            <w:shd w:val="clear" w:color="auto" w:fill="auto"/>
          </w:tcPr>
          <w:p w:rsidR="00183D2B" w:rsidRPr="009C2096" w:rsidRDefault="0054760E" w:rsidP="009C2096">
            <w:pPr>
              <w:rPr>
                <w:rFonts w:ascii="Arial" w:hAnsi="Arial" w:cs="Arial"/>
                <w:b/>
                <w:sz w:val="24"/>
                <w:szCs w:val="24"/>
              </w:rPr>
            </w:pPr>
            <w:r>
              <w:rPr>
                <w:rFonts w:ascii="Arial" w:hAnsi="Arial" w:cs="Arial"/>
                <w:b/>
                <w:sz w:val="24"/>
                <w:szCs w:val="24"/>
              </w:rPr>
              <w:t>Ongoing – as and when required</w:t>
            </w:r>
          </w:p>
        </w:tc>
      </w:tr>
      <w:tr w:rsidR="00183D2B" w:rsidRPr="009C2096" w:rsidTr="009C2096">
        <w:tc>
          <w:tcPr>
            <w:tcW w:w="3080" w:type="dxa"/>
            <w:shd w:val="clear" w:color="auto" w:fill="auto"/>
          </w:tcPr>
          <w:p w:rsidR="00183D2B" w:rsidRPr="009C2096" w:rsidRDefault="00D626DC" w:rsidP="009C2096">
            <w:pPr>
              <w:rPr>
                <w:rFonts w:ascii="Arial" w:hAnsi="Arial" w:cs="Arial"/>
                <w:b/>
                <w:sz w:val="24"/>
                <w:szCs w:val="24"/>
              </w:rPr>
            </w:pPr>
            <w:r>
              <w:rPr>
                <w:rFonts w:ascii="Arial" w:hAnsi="Arial" w:cs="Arial"/>
                <w:b/>
                <w:sz w:val="24"/>
                <w:szCs w:val="24"/>
              </w:rPr>
              <w:t>Risk assessment – carry out same day for serious cases</w:t>
            </w:r>
          </w:p>
        </w:tc>
        <w:tc>
          <w:tcPr>
            <w:tcW w:w="3081" w:type="dxa"/>
            <w:shd w:val="clear" w:color="auto" w:fill="auto"/>
          </w:tcPr>
          <w:p w:rsidR="00183D2B" w:rsidRPr="009C2096" w:rsidRDefault="0054760E" w:rsidP="009C2096">
            <w:pPr>
              <w:rPr>
                <w:rFonts w:ascii="Arial" w:hAnsi="Arial" w:cs="Arial"/>
                <w:b/>
                <w:sz w:val="24"/>
                <w:szCs w:val="24"/>
              </w:rPr>
            </w:pPr>
            <w:r>
              <w:rPr>
                <w:rFonts w:ascii="Arial" w:hAnsi="Arial" w:cs="Arial"/>
                <w:b/>
                <w:sz w:val="24"/>
                <w:szCs w:val="24"/>
              </w:rPr>
              <w:t>To ensure that customers identified as vulnerable are picked up immediately</w:t>
            </w:r>
          </w:p>
        </w:tc>
        <w:tc>
          <w:tcPr>
            <w:tcW w:w="3081" w:type="dxa"/>
            <w:shd w:val="clear" w:color="auto" w:fill="auto"/>
          </w:tcPr>
          <w:p w:rsidR="00183D2B" w:rsidRPr="009C2096" w:rsidRDefault="0054760E" w:rsidP="009C2096">
            <w:pPr>
              <w:rPr>
                <w:rFonts w:ascii="Arial" w:hAnsi="Arial" w:cs="Arial"/>
                <w:b/>
                <w:sz w:val="24"/>
                <w:szCs w:val="24"/>
              </w:rPr>
            </w:pPr>
            <w:r>
              <w:rPr>
                <w:rFonts w:ascii="Arial" w:hAnsi="Arial" w:cs="Arial"/>
                <w:b/>
                <w:sz w:val="24"/>
                <w:szCs w:val="24"/>
              </w:rPr>
              <w:t>May 2015</w:t>
            </w:r>
          </w:p>
        </w:tc>
      </w:tr>
      <w:tr w:rsidR="00183D2B" w:rsidRPr="009C2096" w:rsidTr="009C2096">
        <w:tc>
          <w:tcPr>
            <w:tcW w:w="3080" w:type="dxa"/>
            <w:shd w:val="clear" w:color="auto" w:fill="auto"/>
          </w:tcPr>
          <w:p w:rsidR="00183D2B" w:rsidRPr="009C2096" w:rsidRDefault="00954C74" w:rsidP="00954C74">
            <w:pPr>
              <w:rPr>
                <w:rFonts w:ascii="Arial" w:hAnsi="Arial" w:cs="Arial"/>
                <w:b/>
                <w:sz w:val="24"/>
                <w:szCs w:val="24"/>
              </w:rPr>
            </w:pPr>
            <w:r>
              <w:rPr>
                <w:rFonts w:ascii="Arial" w:hAnsi="Arial" w:cs="Arial"/>
                <w:b/>
                <w:sz w:val="24"/>
                <w:szCs w:val="24"/>
              </w:rPr>
              <w:lastRenderedPageBreak/>
              <w:t xml:space="preserve">Risk assessment – manager to review 10% of cases </w:t>
            </w:r>
          </w:p>
        </w:tc>
        <w:tc>
          <w:tcPr>
            <w:tcW w:w="3081" w:type="dxa"/>
            <w:shd w:val="clear" w:color="auto" w:fill="auto"/>
          </w:tcPr>
          <w:p w:rsidR="00183D2B" w:rsidRPr="009C2096" w:rsidRDefault="00954C74" w:rsidP="009C2096">
            <w:pPr>
              <w:rPr>
                <w:rFonts w:ascii="Arial" w:hAnsi="Arial" w:cs="Arial"/>
                <w:b/>
                <w:sz w:val="24"/>
                <w:szCs w:val="24"/>
              </w:rPr>
            </w:pPr>
            <w:r>
              <w:rPr>
                <w:rFonts w:ascii="Arial" w:hAnsi="Arial" w:cs="Arial"/>
                <w:b/>
                <w:sz w:val="24"/>
                <w:szCs w:val="24"/>
              </w:rPr>
              <w:t>To ensure consistency of approach in completing paperwork and ensure that where the scoring mechanism is overwritten, clear reasons are provided for this</w:t>
            </w:r>
          </w:p>
        </w:tc>
        <w:tc>
          <w:tcPr>
            <w:tcW w:w="3081" w:type="dxa"/>
            <w:shd w:val="clear" w:color="auto" w:fill="auto"/>
          </w:tcPr>
          <w:p w:rsidR="00183D2B" w:rsidRPr="009C2096" w:rsidRDefault="00376959" w:rsidP="009C2096">
            <w:pPr>
              <w:rPr>
                <w:rFonts w:ascii="Arial" w:hAnsi="Arial" w:cs="Arial"/>
                <w:b/>
                <w:sz w:val="24"/>
                <w:szCs w:val="24"/>
              </w:rPr>
            </w:pPr>
            <w:r>
              <w:rPr>
                <w:rFonts w:ascii="Arial" w:hAnsi="Arial" w:cs="Arial"/>
                <w:b/>
                <w:sz w:val="24"/>
                <w:szCs w:val="24"/>
              </w:rPr>
              <w:t>On a quarterly basis</w:t>
            </w:r>
          </w:p>
        </w:tc>
      </w:tr>
      <w:tr w:rsidR="00C23EA6" w:rsidRPr="009C2096" w:rsidTr="009C2096">
        <w:tc>
          <w:tcPr>
            <w:tcW w:w="3080" w:type="dxa"/>
            <w:shd w:val="clear" w:color="auto" w:fill="auto"/>
          </w:tcPr>
          <w:p w:rsidR="00C23EA6" w:rsidRDefault="00C23EA6" w:rsidP="00954C74">
            <w:pPr>
              <w:rPr>
                <w:rFonts w:ascii="Arial" w:hAnsi="Arial" w:cs="Arial"/>
                <w:b/>
                <w:sz w:val="24"/>
                <w:szCs w:val="24"/>
              </w:rPr>
            </w:pPr>
            <w:r>
              <w:rPr>
                <w:rFonts w:ascii="Arial" w:hAnsi="Arial" w:cs="Arial"/>
                <w:b/>
                <w:sz w:val="24"/>
                <w:szCs w:val="24"/>
              </w:rPr>
              <w:t>Improve procedures</w:t>
            </w:r>
            <w:r w:rsidR="00AF4334">
              <w:rPr>
                <w:rFonts w:ascii="Arial" w:hAnsi="Arial" w:cs="Arial"/>
                <w:b/>
                <w:sz w:val="24"/>
                <w:szCs w:val="24"/>
              </w:rPr>
              <w:t>/staff training</w:t>
            </w:r>
            <w:r>
              <w:rPr>
                <w:rFonts w:ascii="Arial" w:hAnsi="Arial" w:cs="Arial"/>
                <w:b/>
                <w:sz w:val="24"/>
                <w:szCs w:val="24"/>
              </w:rPr>
              <w:t xml:space="preserve"> for ASB</w:t>
            </w:r>
          </w:p>
        </w:tc>
        <w:tc>
          <w:tcPr>
            <w:tcW w:w="3081" w:type="dxa"/>
            <w:shd w:val="clear" w:color="auto" w:fill="auto"/>
          </w:tcPr>
          <w:p w:rsidR="00C23EA6" w:rsidRDefault="00AF4334" w:rsidP="009C2096">
            <w:pPr>
              <w:rPr>
                <w:rFonts w:ascii="Arial" w:hAnsi="Arial" w:cs="Arial"/>
                <w:b/>
                <w:sz w:val="24"/>
                <w:szCs w:val="24"/>
              </w:rPr>
            </w:pPr>
            <w:r>
              <w:rPr>
                <w:rFonts w:ascii="Arial" w:hAnsi="Arial" w:cs="Arial"/>
                <w:b/>
                <w:sz w:val="24"/>
                <w:szCs w:val="24"/>
              </w:rPr>
              <w:t>To ensure that detailed notes are recorded for every case, not just the high profile cases</w:t>
            </w:r>
          </w:p>
        </w:tc>
        <w:tc>
          <w:tcPr>
            <w:tcW w:w="3081" w:type="dxa"/>
            <w:shd w:val="clear" w:color="auto" w:fill="auto"/>
          </w:tcPr>
          <w:p w:rsidR="00C23EA6" w:rsidRPr="009C2096" w:rsidRDefault="00A70228" w:rsidP="009C2096">
            <w:pPr>
              <w:rPr>
                <w:rFonts w:ascii="Arial" w:hAnsi="Arial" w:cs="Arial"/>
                <w:b/>
                <w:sz w:val="24"/>
                <w:szCs w:val="24"/>
              </w:rPr>
            </w:pPr>
            <w:r>
              <w:rPr>
                <w:rFonts w:ascii="Arial" w:hAnsi="Arial" w:cs="Arial"/>
                <w:b/>
                <w:sz w:val="24"/>
                <w:szCs w:val="24"/>
              </w:rPr>
              <w:t>Ongoing</w:t>
            </w:r>
          </w:p>
        </w:tc>
      </w:tr>
      <w:tr w:rsidR="00AF4334" w:rsidRPr="009C2096" w:rsidTr="009C2096">
        <w:tc>
          <w:tcPr>
            <w:tcW w:w="3080" w:type="dxa"/>
            <w:shd w:val="clear" w:color="auto" w:fill="auto"/>
          </w:tcPr>
          <w:p w:rsidR="00AF4334" w:rsidRDefault="00AF4334" w:rsidP="00954C74">
            <w:pPr>
              <w:rPr>
                <w:rFonts w:ascii="Arial" w:hAnsi="Arial" w:cs="Arial"/>
                <w:b/>
                <w:sz w:val="24"/>
                <w:szCs w:val="24"/>
              </w:rPr>
            </w:pPr>
            <w:r>
              <w:rPr>
                <w:rFonts w:ascii="Arial" w:hAnsi="Arial" w:cs="Arial"/>
                <w:b/>
                <w:sz w:val="24"/>
                <w:szCs w:val="24"/>
              </w:rPr>
              <w:t>Follow up call to every customer</w:t>
            </w:r>
          </w:p>
        </w:tc>
        <w:tc>
          <w:tcPr>
            <w:tcW w:w="3081" w:type="dxa"/>
            <w:shd w:val="clear" w:color="auto" w:fill="auto"/>
          </w:tcPr>
          <w:p w:rsidR="00AF4334" w:rsidRDefault="00AF4334" w:rsidP="009C2096">
            <w:pPr>
              <w:rPr>
                <w:rFonts w:ascii="Arial" w:hAnsi="Arial" w:cs="Arial"/>
                <w:b/>
                <w:sz w:val="24"/>
                <w:szCs w:val="24"/>
              </w:rPr>
            </w:pPr>
            <w:r>
              <w:rPr>
                <w:rFonts w:ascii="Arial" w:hAnsi="Arial" w:cs="Arial"/>
                <w:b/>
                <w:sz w:val="24"/>
                <w:szCs w:val="24"/>
              </w:rPr>
              <w:t>To ensure (rather than assume) that the ASB has been resolved</w:t>
            </w:r>
          </w:p>
        </w:tc>
        <w:tc>
          <w:tcPr>
            <w:tcW w:w="3081" w:type="dxa"/>
            <w:shd w:val="clear" w:color="auto" w:fill="auto"/>
          </w:tcPr>
          <w:p w:rsidR="00AF4334" w:rsidRPr="009C2096" w:rsidRDefault="00A70228" w:rsidP="009C2096">
            <w:pPr>
              <w:rPr>
                <w:rFonts w:ascii="Arial" w:hAnsi="Arial" w:cs="Arial"/>
                <w:b/>
                <w:sz w:val="24"/>
                <w:szCs w:val="24"/>
              </w:rPr>
            </w:pPr>
            <w:r>
              <w:rPr>
                <w:rFonts w:ascii="Arial" w:hAnsi="Arial" w:cs="Arial"/>
                <w:b/>
                <w:sz w:val="24"/>
                <w:szCs w:val="24"/>
              </w:rPr>
              <w:t>Ongoing</w:t>
            </w:r>
          </w:p>
        </w:tc>
      </w:tr>
      <w:tr w:rsidR="00D86B1B" w:rsidRPr="009C2096" w:rsidTr="009C2096">
        <w:tc>
          <w:tcPr>
            <w:tcW w:w="3080" w:type="dxa"/>
            <w:shd w:val="clear" w:color="auto" w:fill="auto"/>
          </w:tcPr>
          <w:p w:rsidR="00D86B1B" w:rsidRDefault="00D86B1B" w:rsidP="00954C74">
            <w:pPr>
              <w:rPr>
                <w:rFonts w:ascii="Arial" w:hAnsi="Arial" w:cs="Arial"/>
                <w:b/>
                <w:sz w:val="24"/>
                <w:szCs w:val="24"/>
              </w:rPr>
            </w:pPr>
            <w:r>
              <w:rPr>
                <w:rFonts w:ascii="Arial" w:hAnsi="Arial" w:cs="Arial"/>
                <w:b/>
                <w:sz w:val="24"/>
                <w:szCs w:val="24"/>
              </w:rPr>
              <w:t>Carry out home visits for each report of ASB or record the reason(s) for not doing so</w:t>
            </w:r>
          </w:p>
        </w:tc>
        <w:tc>
          <w:tcPr>
            <w:tcW w:w="3081" w:type="dxa"/>
            <w:shd w:val="clear" w:color="auto" w:fill="auto"/>
          </w:tcPr>
          <w:p w:rsidR="00D86B1B" w:rsidRDefault="00D86B1B" w:rsidP="009C2096">
            <w:pPr>
              <w:rPr>
                <w:rFonts w:ascii="Arial" w:hAnsi="Arial" w:cs="Arial"/>
                <w:b/>
                <w:sz w:val="24"/>
                <w:szCs w:val="24"/>
              </w:rPr>
            </w:pPr>
            <w:r>
              <w:rPr>
                <w:rFonts w:ascii="Arial" w:hAnsi="Arial" w:cs="Arial"/>
                <w:b/>
                <w:sz w:val="24"/>
                <w:szCs w:val="24"/>
              </w:rPr>
              <w:t>Good customer service</w:t>
            </w:r>
          </w:p>
        </w:tc>
        <w:tc>
          <w:tcPr>
            <w:tcW w:w="3081" w:type="dxa"/>
            <w:shd w:val="clear" w:color="auto" w:fill="auto"/>
          </w:tcPr>
          <w:p w:rsidR="00D86B1B" w:rsidRPr="009C2096" w:rsidRDefault="00A70228" w:rsidP="009C2096">
            <w:pPr>
              <w:rPr>
                <w:rFonts w:ascii="Arial" w:hAnsi="Arial" w:cs="Arial"/>
                <w:b/>
                <w:sz w:val="24"/>
                <w:szCs w:val="24"/>
              </w:rPr>
            </w:pPr>
            <w:r>
              <w:rPr>
                <w:rFonts w:ascii="Arial" w:hAnsi="Arial" w:cs="Arial"/>
                <w:b/>
                <w:sz w:val="24"/>
                <w:szCs w:val="24"/>
              </w:rPr>
              <w:t>Ongoing</w:t>
            </w:r>
          </w:p>
        </w:tc>
      </w:tr>
    </w:tbl>
    <w:p w:rsidR="00CE7DA3" w:rsidRDefault="00CE7DA3" w:rsidP="002F2B26">
      <w:pPr>
        <w:rPr>
          <w:rFonts w:ascii="Arial" w:hAnsi="Arial" w:cs="Arial"/>
          <w:sz w:val="24"/>
          <w:szCs w:val="24"/>
        </w:rPr>
      </w:pPr>
    </w:p>
    <w:p w:rsidR="00B726F1" w:rsidRDefault="00B726F1" w:rsidP="002F2B26">
      <w:pPr>
        <w:rPr>
          <w:rFonts w:ascii="Arial" w:hAnsi="Arial" w:cs="Arial"/>
          <w:sz w:val="24"/>
          <w:szCs w:val="24"/>
        </w:rPr>
      </w:pPr>
    </w:p>
    <w:p w:rsidR="00B726F1" w:rsidRDefault="00A70228" w:rsidP="002F2B26">
      <w:pPr>
        <w:rPr>
          <w:rFonts w:ascii="Arial" w:hAnsi="Arial" w:cs="Arial"/>
          <w:sz w:val="24"/>
          <w:szCs w:val="24"/>
        </w:rPr>
      </w:pPr>
      <w:r>
        <w:rPr>
          <w:rFonts w:ascii="Arial" w:hAnsi="Arial" w:cs="Arial"/>
          <w:sz w:val="24"/>
          <w:szCs w:val="24"/>
        </w:rPr>
        <w:t>5.</w:t>
      </w:r>
      <w:r>
        <w:rPr>
          <w:rFonts w:ascii="Arial" w:hAnsi="Arial" w:cs="Arial"/>
          <w:sz w:val="24"/>
          <w:szCs w:val="24"/>
        </w:rPr>
        <w:tab/>
        <w:t>Group members</w:t>
      </w:r>
    </w:p>
    <w:p w:rsidR="00A70228" w:rsidRDefault="00A70228" w:rsidP="002F2B26">
      <w:pPr>
        <w:rPr>
          <w:rFonts w:ascii="Arial" w:hAnsi="Arial" w:cs="Arial"/>
          <w:sz w:val="24"/>
          <w:szCs w:val="24"/>
        </w:rPr>
      </w:pPr>
    </w:p>
    <w:p w:rsidR="00A70228" w:rsidRDefault="00A70228" w:rsidP="00A70228">
      <w:pPr>
        <w:spacing w:line="360" w:lineRule="auto"/>
        <w:rPr>
          <w:rFonts w:ascii="Arial" w:hAnsi="Arial" w:cs="Arial"/>
          <w:sz w:val="24"/>
          <w:szCs w:val="24"/>
        </w:rPr>
      </w:pPr>
      <w:r>
        <w:rPr>
          <w:rFonts w:ascii="Arial" w:hAnsi="Arial" w:cs="Arial"/>
          <w:sz w:val="24"/>
          <w:szCs w:val="24"/>
        </w:rPr>
        <w:t>The members of the Estate Services Quality Group who have contributed to this report are:</w:t>
      </w:r>
    </w:p>
    <w:p w:rsidR="00267479" w:rsidRDefault="00267479" w:rsidP="00A70228">
      <w:pPr>
        <w:spacing w:line="360" w:lineRule="auto"/>
        <w:rPr>
          <w:rFonts w:ascii="Arial" w:hAnsi="Arial" w:cs="Arial"/>
          <w:sz w:val="24"/>
          <w:szCs w:val="24"/>
        </w:rPr>
      </w:pPr>
      <w:r>
        <w:rPr>
          <w:rFonts w:ascii="Arial" w:hAnsi="Arial" w:cs="Arial"/>
          <w:sz w:val="24"/>
          <w:szCs w:val="24"/>
        </w:rPr>
        <w:tab/>
        <w:t>Frank McCafferty</w:t>
      </w:r>
    </w:p>
    <w:p w:rsidR="00267479" w:rsidRDefault="00267479" w:rsidP="00A70228">
      <w:pPr>
        <w:spacing w:line="360" w:lineRule="auto"/>
        <w:rPr>
          <w:rFonts w:ascii="Arial" w:hAnsi="Arial" w:cs="Arial"/>
          <w:sz w:val="24"/>
          <w:szCs w:val="24"/>
        </w:rPr>
      </w:pPr>
      <w:r>
        <w:rPr>
          <w:rFonts w:ascii="Arial" w:hAnsi="Arial" w:cs="Arial"/>
          <w:sz w:val="24"/>
          <w:szCs w:val="24"/>
        </w:rPr>
        <w:tab/>
        <w:t>Paul  McGregor</w:t>
      </w:r>
    </w:p>
    <w:p w:rsidR="00267479" w:rsidRDefault="00267479" w:rsidP="00A70228">
      <w:pPr>
        <w:spacing w:line="360" w:lineRule="auto"/>
        <w:rPr>
          <w:rFonts w:ascii="Arial" w:hAnsi="Arial" w:cs="Arial"/>
          <w:sz w:val="24"/>
          <w:szCs w:val="24"/>
        </w:rPr>
      </w:pPr>
      <w:r>
        <w:rPr>
          <w:rFonts w:ascii="Arial" w:hAnsi="Arial" w:cs="Arial"/>
          <w:sz w:val="24"/>
          <w:szCs w:val="24"/>
        </w:rPr>
        <w:tab/>
        <w:t>Janice Murray</w:t>
      </w:r>
    </w:p>
    <w:p w:rsidR="00267479" w:rsidRDefault="00267479" w:rsidP="00A70228">
      <w:pPr>
        <w:spacing w:line="360" w:lineRule="auto"/>
        <w:rPr>
          <w:rFonts w:ascii="Arial" w:hAnsi="Arial" w:cs="Arial"/>
          <w:sz w:val="24"/>
          <w:szCs w:val="24"/>
        </w:rPr>
      </w:pPr>
      <w:r>
        <w:rPr>
          <w:rFonts w:ascii="Arial" w:hAnsi="Arial" w:cs="Arial"/>
          <w:sz w:val="24"/>
          <w:szCs w:val="24"/>
        </w:rPr>
        <w:tab/>
        <w:t>Allan Paton</w:t>
      </w:r>
    </w:p>
    <w:p w:rsidR="00267479" w:rsidRDefault="00267479" w:rsidP="00A70228">
      <w:pPr>
        <w:spacing w:line="360" w:lineRule="auto"/>
        <w:rPr>
          <w:rFonts w:ascii="Arial" w:hAnsi="Arial" w:cs="Arial"/>
          <w:sz w:val="24"/>
          <w:szCs w:val="24"/>
        </w:rPr>
      </w:pPr>
      <w:r>
        <w:rPr>
          <w:rFonts w:ascii="Arial" w:hAnsi="Arial" w:cs="Arial"/>
          <w:sz w:val="24"/>
          <w:szCs w:val="24"/>
        </w:rPr>
        <w:tab/>
      </w:r>
    </w:p>
    <w:sectPr w:rsidR="00267479" w:rsidSect="00267E2B">
      <w:footerReference w:type="default" r:id="rId7"/>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AD" w:rsidRDefault="000F51AD" w:rsidP="00267E2B">
      <w:pPr>
        <w:spacing w:after="0" w:line="240" w:lineRule="auto"/>
      </w:pPr>
      <w:r>
        <w:separator/>
      </w:r>
    </w:p>
  </w:endnote>
  <w:endnote w:type="continuationSeparator" w:id="0">
    <w:p w:rsidR="000F51AD" w:rsidRDefault="000F51AD" w:rsidP="0026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06299"/>
      <w:docPartObj>
        <w:docPartGallery w:val="Page Numbers (Bottom of Page)"/>
        <w:docPartUnique/>
      </w:docPartObj>
    </w:sdtPr>
    <w:sdtEndPr>
      <w:rPr>
        <w:noProof/>
      </w:rPr>
    </w:sdtEndPr>
    <w:sdtContent>
      <w:p w:rsidR="00267E2B" w:rsidRDefault="00267E2B">
        <w:pPr>
          <w:pStyle w:val="Footer"/>
          <w:jc w:val="right"/>
        </w:pPr>
        <w:r>
          <w:fldChar w:fldCharType="begin"/>
        </w:r>
        <w:r>
          <w:instrText xml:space="preserve"> PAGE   \* MERGEFORMAT </w:instrText>
        </w:r>
        <w:r>
          <w:fldChar w:fldCharType="separate"/>
        </w:r>
        <w:r w:rsidR="009B08B8">
          <w:rPr>
            <w:noProof/>
          </w:rPr>
          <w:t>2</w:t>
        </w:r>
        <w:r>
          <w:rPr>
            <w:noProof/>
          </w:rPr>
          <w:fldChar w:fldCharType="end"/>
        </w:r>
      </w:p>
    </w:sdtContent>
  </w:sdt>
  <w:p w:rsidR="00267E2B" w:rsidRDefault="0026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AD" w:rsidRDefault="000F51AD" w:rsidP="00267E2B">
      <w:pPr>
        <w:spacing w:after="0" w:line="240" w:lineRule="auto"/>
      </w:pPr>
      <w:r>
        <w:separator/>
      </w:r>
    </w:p>
  </w:footnote>
  <w:footnote w:type="continuationSeparator" w:id="0">
    <w:p w:rsidR="000F51AD" w:rsidRDefault="000F51AD" w:rsidP="00267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4722"/>
    <w:multiLevelType w:val="hybridMultilevel"/>
    <w:tmpl w:val="6520F7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619BF"/>
    <w:multiLevelType w:val="hybridMultilevel"/>
    <w:tmpl w:val="CC822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46C74"/>
    <w:multiLevelType w:val="hybridMultilevel"/>
    <w:tmpl w:val="D9EE3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6057A"/>
    <w:multiLevelType w:val="hybridMultilevel"/>
    <w:tmpl w:val="96FCE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45E44"/>
    <w:multiLevelType w:val="hybridMultilevel"/>
    <w:tmpl w:val="4510D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26"/>
    <w:rsid w:val="000D33FF"/>
    <w:rsid w:val="000F51AD"/>
    <w:rsid w:val="00183D2B"/>
    <w:rsid w:val="00186713"/>
    <w:rsid w:val="00267479"/>
    <w:rsid w:val="00267E2B"/>
    <w:rsid w:val="00280284"/>
    <w:rsid w:val="002F2B26"/>
    <w:rsid w:val="003202DF"/>
    <w:rsid w:val="00337DE9"/>
    <w:rsid w:val="00376959"/>
    <w:rsid w:val="003A03A0"/>
    <w:rsid w:val="003D7932"/>
    <w:rsid w:val="003E5F16"/>
    <w:rsid w:val="0049222A"/>
    <w:rsid w:val="005376C8"/>
    <w:rsid w:val="0054760E"/>
    <w:rsid w:val="00646573"/>
    <w:rsid w:val="0065658D"/>
    <w:rsid w:val="006C33A7"/>
    <w:rsid w:val="006E12D4"/>
    <w:rsid w:val="00737026"/>
    <w:rsid w:val="00740260"/>
    <w:rsid w:val="00762DE1"/>
    <w:rsid w:val="007C6518"/>
    <w:rsid w:val="007E224D"/>
    <w:rsid w:val="0083023D"/>
    <w:rsid w:val="00874097"/>
    <w:rsid w:val="00954C74"/>
    <w:rsid w:val="009B08B8"/>
    <w:rsid w:val="009C2096"/>
    <w:rsid w:val="00A66001"/>
    <w:rsid w:val="00A70228"/>
    <w:rsid w:val="00AC4E50"/>
    <w:rsid w:val="00AF4334"/>
    <w:rsid w:val="00B726F1"/>
    <w:rsid w:val="00B72BA2"/>
    <w:rsid w:val="00C23EA6"/>
    <w:rsid w:val="00C52397"/>
    <w:rsid w:val="00CE7DA3"/>
    <w:rsid w:val="00CF53EF"/>
    <w:rsid w:val="00D6182C"/>
    <w:rsid w:val="00D62632"/>
    <w:rsid w:val="00D626DC"/>
    <w:rsid w:val="00D86B1B"/>
    <w:rsid w:val="00DE2F0A"/>
    <w:rsid w:val="00E03227"/>
    <w:rsid w:val="00E5583C"/>
    <w:rsid w:val="00EB443B"/>
    <w:rsid w:val="00EF03FA"/>
    <w:rsid w:val="00F259D7"/>
    <w:rsid w:val="00F41CC4"/>
    <w:rsid w:val="00FA0C6C"/>
    <w:rsid w:val="00FC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D2CDC-1347-489A-A6C3-EA85F06C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2C"/>
    <w:pPr>
      <w:ind w:left="720"/>
      <w:contextualSpacing/>
    </w:pPr>
  </w:style>
  <w:style w:type="paragraph" w:styleId="Header">
    <w:name w:val="header"/>
    <w:basedOn w:val="Normal"/>
    <w:link w:val="HeaderChar"/>
    <w:uiPriority w:val="99"/>
    <w:unhideWhenUsed/>
    <w:rsid w:val="00267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E2B"/>
    <w:rPr>
      <w:sz w:val="22"/>
      <w:szCs w:val="22"/>
      <w:lang w:eastAsia="en-US"/>
    </w:rPr>
  </w:style>
  <w:style w:type="paragraph" w:styleId="Footer">
    <w:name w:val="footer"/>
    <w:basedOn w:val="Normal"/>
    <w:link w:val="FooterChar"/>
    <w:uiPriority w:val="99"/>
    <w:unhideWhenUsed/>
    <w:rsid w:val="00267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E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McTurk, Joan</dc:creator>
  <cp:lastModifiedBy>Telford, Danni</cp:lastModifiedBy>
  <cp:revision>3</cp:revision>
  <cp:lastPrinted>2015-03-30T15:46:00Z</cp:lastPrinted>
  <dcterms:created xsi:type="dcterms:W3CDTF">2016-04-19T10:18:00Z</dcterms:created>
  <dcterms:modified xsi:type="dcterms:W3CDTF">2016-04-19T10:18:00Z</dcterms:modified>
</cp:coreProperties>
</file>