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FA76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35604A91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 xml:space="preserve">his is a summary of the meeting held Thursday </w:t>
      </w:r>
      <w:r w:rsidR="00583ACC">
        <w:rPr>
          <w:rFonts w:ascii="Arial" w:hAnsi="Arial" w:cs="Arial"/>
          <w:i/>
          <w:iCs/>
        </w:rPr>
        <w:t>9</w:t>
      </w:r>
      <w:r w:rsidR="005B2935" w:rsidRPr="005B2935">
        <w:rPr>
          <w:rFonts w:ascii="Arial" w:hAnsi="Arial" w:cs="Arial"/>
          <w:i/>
          <w:iCs/>
          <w:vertAlign w:val="superscript"/>
        </w:rPr>
        <w:t>th</w:t>
      </w:r>
      <w:r w:rsidR="005B2935">
        <w:rPr>
          <w:rFonts w:ascii="Arial" w:hAnsi="Arial" w:cs="Arial"/>
          <w:i/>
          <w:iCs/>
        </w:rPr>
        <w:t xml:space="preserve"> </w:t>
      </w:r>
      <w:r w:rsidR="00583ACC">
        <w:rPr>
          <w:rFonts w:ascii="Arial" w:hAnsi="Arial" w:cs="Arial"/>
          <w:i/>
          <w:iCs/>
        </w:rPr>
        <w:t>June</w:t>
      </w:r>
      <w:r w:rsidR="005B2935">
        <w:rPr>
          <w:rFonts w:ascii="Arial" w:hAnsi="Arial" w:cs="Arial"/>
          <w:i/>
          <w:iCs/>
        </w:rPr>
        <w:t xml:space="preserve"> 2022!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13CF8A8C" w:rsidR="00490BD3" w:rsidRPr="0034480F" w:rsidRDefault="00976B31" w:rsidP="002E2550">
      <w:pPr>
        <w:tabs>
          <w:tab w:val="left" w:pos="3480"/>
        </w:tabs>
        <w:rPr>
          <w:rFonts w:ascii="Arial" w:hAnsi="Arial" w:cs="Arial"/>
          <w:b/>
          <w:bCs/>
        </w:rPr>
      </w:pPr>
      <w:r w:rsidRPr="0034480F">
        <w:rPr>
          <w:rFonts w:ascii="Arial" w:hAnsi="Arial" w:cs="Arial"/>
          <w:b/>
          <w:bCs/>
        </w:rPr>
        <w:t xml:space="preserve">Customer Pledge Task and Finish Group: </w:t>
      </w:r>
      <w:r w:rsidR="00583ACC">
        <w:rPr>
          <w:rFonts w:ascii="Arial" w:hAnsi="Arial" w:cs="Arial"/>
          <w:b/>
          <w:bCs/>
        </w:rPr>
        <w:t>9</w:t>
      </w:r>
      <w:r w:rsidR="00583ACC" w:rsidRPr="00583ACC">
        <w:rPr>
          <w:rFonts w:ascii="Arial" w:hAnsi="Arial" w:cs="Arial"/>
          <w:b/>
          <w:bCs/>
          <w:vertAlign w:val="superscript"/>
        </w:rPr>
        <w:t>th</w:t>
      </w:r>
      <w:r w:rsidR="00B342BB">
        <w:rPr>
          <w:rFonts w:ascii="Arial" w:hAnsi="Arial" w:cs="Arial"/>
          <w:b/>
          <w:bCs/>
        </w:rPr>
        <w:t xml:space="preserve"> </w:t>
      </w:r>
      <w:r w:rsidR="00583ACC">
        <w:rPr>
          <w:rFonts w:ascii="Arial" w:hAnsi="Arial" w:cs="Arial"/>
          <w:b/>
          <w:bCs/>
        </w:rPr>
        <w:t>June</w:t>
      </w:r>
      <w:r w:rsidR="005B2935">
        <w:rPr>
          <w:rFonts w:ascii="Arial" w:hAnsi="Arial" w:cs="Arial"/>
          <w:b/>
          <w:bCs/>
        </w:rPr>
        <w:t xml:space="preserve"> 2022</w:t>
      </w:r>
    </w:p>
    <w:p w14:paraId="3E764951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bookmarkStart w:id="0" w:name="_Hlk101517153"/>
      <w:r w:rsidRPr="00B8399D">
        <w:rPr>
          <w:rFonts w:ascii="Arial" w:eastAsia="Times New Roman" w:hAnsi="Arial" w:cs="Arial"/>
          <w:b/>
          <w:bCs/>
        </w:rPr>
        <w:t>Key decisions and considerations</w:t>
      </w:r>
    </w:p>
    <w:p w14:paraId="5AE776E0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Customer Offer  </w:t>
      </w:r>
    </w:p>
    <w:p w14:paraId="22C79E99" w14:textId="52B40C1C" w:rsidR="000362A0" w:rsidRPr="000362A0" w:rsidRDefault="00B8399D" w:rsidP="000362A0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A Customer Service Offer is being co-created with the Task and Finish Group with input from customers, </w:t>
      </w:r>
      <w:proofErr w:type="gramStart"/>
      <w:r w:rsidRPr="00B8399D">
        <w:rPr>
          <w:rFonts w:ascii="Arial" w:eastAsia="Times New Roman" w:hAnsi="Arial" w:cs="Arial"/>
        </w:rPr>
        <w:t>employees</w:t>
      </w:r>
      <w:proofErr w:type="gramEnd"/>
      <w:r w:rsidRPr="00B8399D">
        <w:rPr>
          <w:rFonts w:ascii="Arial" w:eastAsia="Times New Roman" w:hAnsi="Arial" w:cs="Arial"/>
        </w:rPr>
        <w:t xml:space="preserve"> and partners. It is proposed that a joint customer service standard will be developed for Riverside and One Housing that works for everyone and reflects both organisations’ core values. A subgroup has </w:t>
      </w:r>
      <w:r w:rsidR="000362A0">
        <w:rPr>
          <w:rFonts w:ascii="Arial" w:eastAsia="Times New Roman" w:hAnsi="Arial" w:cs="Arial"/>
        </w:rPr>
        <w:t xml:space="preserve">been meeting between </w:t>
      </w:r>
      <w:r w:rsidR="006B628F">
        <w:rPr>
          <w:rFonts w:ascii="Arial" w:eastAsia="Times New Roman" w:hAnsi="Arial" w:cs="Arial"/>
        </w:rPr>
        <w:t>Task and Finish Group meeting</w:t>
      </w:r>
      <w:r w:rsidR="006F350F">
        <w:rPr>
          <w:rFonts w:ascii="Arial" w:eastAsia="Times New Roman" w:hAnsi="Arial" w:cs="Arial"/>
        </w:rPr>
        <w:t>s</w:t>
      </w:r>
      <w:r w:rsidR="006B628F">
        <w:rPr>
          <w:rFonts w:ascii="Arial" w:eastAsia="Times New Roman" w:hAnsi="Arial" w:cs="Arial"/>
        </w:rPr>
        <w:t xml:space="preserve"> and has discussed the Golden Rules that should be embedded within the standards </w:t>
      </w:r>
      <w:r w:rsidR="000362A0">
        <w:rPr>
          <w:rFonts w:ascii="Arial" w:eastAsia="Times New Roman" w:hAnsi="Arial" w:cs="Arial"/>
        </w:rPr>
        <w:t>and</w:t>
      </w:r>
      <w:r w:rsidR="006B628F">
        <w:rPr>
          <w:rFonts w:ascii="Arial" w:eastAsia="Times New Roman" w:hAnsi="Arial" w:cs="Arial"/>
        </w:rPr>
        <w:t xml:space="preserve"> the key services to focus on. The key Golden Rules </w:t>
      </w:r>
      <w:r w:rsidR="006F350F">
        <w:rPr>
          <w:rFonts w:ascii="Arial" w:eastAsia="Times New Roman" w:hAnsi="Arial" w:cs="Arial"/>
        </w:rPr>
        <w:t xml:space="preserve">under discussion </w:t>
      </w:r>
      <w:r w:rsidR="006B628F">
        <w:rPr>
          <w:rFonts w:ascii="Arial" w:eastAsia="Times New Roman" w:hAnsi="Arial" w:cs="Arial"/>
        </w:rPr>
        <w:t>include:</w:t>
      </w:r>
      <w:r w:rsidR="000362A0">
        <w:rPr>
          <w:rFonts w:ascii="Arial" w:eastAsia="Times New Roman" w:hAnsi="Arial" w:cs="Arial"/>
        </w:rPr>
        <w:t xml:space="preserve"> </w:t>
      </w:r>
    </w:p>
    <w:p w14:paraId="5F1C118C" w14:textId="35C98E95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>First contact resolution</w:t>
      </w:r>
      <w:r w:rsidR="006B628F">
        <w:rPr>
          <w:rFonts w:ascii="Arial" w:eastAsia="Times New Roman" w:hAnsi="Arial" w:cs="Arial"/>
        </w:rPr>
        <w:t xml:space="preserve"> or </w:t>
      </w:r>
      <w:r w:rsidRPr="000362A0">
        <w:rPr>
          <w:rFonts w:ascii="Arial" w:eastAsia="Times New Roman" w:hAnsi="Arial" w:cs="Arial"/>
        </w:rPr>
        <w:t>put</w:t>
      </w:r>
      <w:r w:rsidR="006B628F">
        <w:rPr>
          <w:rFonts w:ascii="Arial" w:eastAsia="Times New Roman" w:hAnsi="Arial" w:cs="Arial"/>
        </w:rPr>
        <w:t>ting</w:t>
      </w:r>
      <w:r w:rsidRPr="000362A0">
        <w:rPr>
          <w:rFonts w:ascii="Arial" w:eastAsia="Times New Roman" w:hAnsi="Arial" w:cs="Arial"/>
        </w:rPr>
        <w:t xml:space="preserve"> customers in contact with the right person.</w:t>
      </w:r>
    </w:p>
    <w:p w14:paraId="52DA0A04" w14:textId="77777777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>Inform customers of what will happen and keep them informed</w:t>
      </w:r>
    </w:p>
    <w:p w14:paraId="11BF1359" w14:textId="4CEE1330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 xml:space="preserve">Be clear </w:t>
      </w:r>
      <w:r w:rsidR="001D1976">
        <w:rPr>
          <w:rFonts w:ascii="Arial" w:eastAsia="Times New Roman" w:hAnsi="Arial" w:cs="Arial"/>
        </w:rPr>
        <w:t>and communicate what is happening in terms of outcomes</w:t>
      </w:r>
    </w:p>
    <w:p w14:paraId="6A55F347" w14:textId="77777777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 xml:space="preserve">Treat others as you want to be treated.  </w:t>
      </w:r>
    </w:p>
    <w:p w14:paraId="7E62E29A" w14:textId="13D04069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 xml:space="preserve">Staff to </w:t>
      </w:r>
      <w:r w:rsidR="001D1976">
        <w:rPr>
          <w:rFonts w:ascii="Arial" w:eastAsia="Times New Roman" w:hAnsi="Arial" w:cs="Arial"/>
        </w:rPr>
        <w:t xml:space="preserve">take </w:t>
      </w:r>
      <w:r w:rsidRPr="000362A0">
        <w:rPr>
          <w:rFonts w:ascii="Arial" w:eastAsia="Times New Roman" w:hAnsi="Arial" w:cs="Arial"/>
        </w:rPr>
        <w:t>own</w:t>
      </w:r>
      <w:r w:rsidR="001D1976">
        <w:rPr>
          <w:rFonts w:ascii="Arial" w:eastAsia="Times New Roman" w:hAnsi="Arial" w:cs="Arial"/>
        </w:rPr>
        <w:t>ership of</w:t>
      </w:r>
      <w:r w:rsidRPr="000362A0">
        <w:rPr>
          <w:rFonts w:ascii="Arial" w:eastAsia="Times New Roman" w:hAnsi="Arial" w:cs="Arial"/>
        </w:rPr>
        <w:t xml:space="preserve"> the issue.</w:t>
      </w:r>
    </w:p>
    <w:p w14:paraId="329C18CB" w14:textId="4AE3E554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>Do</w:t>
      </w:r>
      <w:r w:rsidR="001D1976">
        <w:rPr>
          <w:rFonts w:ascii="Arial" w:eastAsia="Times New Roman" w:hAnsi="Arial" w:cs="Arial"/>
        </w:rPr>
        <w:t>ing</w:t>
      </w:r>
      <w:r w:rsidRPr="000362A0">
        <w:rPr>
          <w:rFonts w:ascii="Arial" w:eastAsia="Times New Roman" w:hAnsi="Arial" w:cs="Arial"/>
        </w:rPr>
        <w:t xml:space="preserve"> our best.</w:t>
      </w:r>
    </w:p>
    <w:p w14:paraId="296FFE7C" w14:textId="77777777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>Everything is everyone’s responsibility.</w:t>
      </w:r>
    </w:p>
    <w:p w14:paraId="4882B39D" w14:textId="77777777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•</w:t>
      </w:r>
      <w:r w:rsidRPr="000362A0">
        <w:rPr>
          <w:rFonts w:ascii="Arial" w:eastAsia="Times New Roman" w:hAnsi="Arial" w:cs="Arial"/>
        </w:rPr>
        <w:tab/>
        <w:t>Every customer matters.</w:t>
      </w:r>
    </w:p>
    <w:p w14:paraId="1AE5AC46" w14:textId="017EB914" w:rsidR="000362A0" w:rsidRPr="000362A0" w:rsidRDefault="000362A0" w:rsidP="000362A0">
      <w:pPr>
        <w:rPr>
          <w:rFonts w:ascii="Arial" w:eastAsia="Times New Roman" w:hAnsi="Arial" w:cs="Arial"/>
        </w:rPr>
      </w:pPr>
      <w:r w:rsidRPr="000362A0">
        <w:rPr>
          <w:rFonts w:ascii="Arial" w:eastAsia="Times New Roman" w:hAnsi="Arial" w:cs="Arial"/>
        </w:rPr>
        <w:t>The group agreed on the following key service</w:t>
      </w:r>
      <w:r w:rsidR="00297716">
        <w:rPr>
          <w:rFonts w:ascii="Arial" w:eastAsia="Times New Roman" w:hAnsi="Arial" w:cs="Arial"/>
        </w:rPr>
        <w:t xml:space="preserve"> areas </w:t>
      </w:r>
      <w:r w:rsidR="0098685F">
        <w:rPr>
          <w:rFonts w:ascii="Arial" w:eastAsia="Times New Roman" w:hAnsi="Arial" w:cs="Arial"/>
        </w:rPr>
        <w:t>for the standards to concentrate on</w:t>
      </w:r>
      <w:r w:rsidRPr="000362A0">
        <w:rPr>
          <w:rFonts w:ascii="Arial" w:eastAsia="Times New Roman" w:hAnsi="Arial" w:cs="Arial"/>
        </w:rPr>
        <w:t>: Rent &amp; Service Charge</w:t>
      </w:r>
      <w:r w:rsidR="00297716">
        <w:rPr>
          <w:rFonts w:ascii="Arial" w:eastAsia="Times New Roman" w:hAnsi="Arial" w:cs="Arial"/>
        </w:rPr>
        <w:t>s</w:t>
      </w:r>
      <w:r w:rsidRPr="000362A0">
        <w:rPr>
          <w:rFonts w:ascii="Arial" w:eastAsia="Times New Roman" w:hAnsi="Arial" w:cs="Arial"/>
        </w:rPr>
        <w:t xml:space="preserve">, Anti-Social Behaviour, </w:t>
      </w:r>
      <w:r w:rsidR="002D17F0" w:rsidRPr="000362A0">
        <w:rPr>
          <w:rFonts w:ascii="Arial" w:eastAsia="Times New Roman" w:hAnsi="Arial" w:cs="Arial"/>
        </w:rPr>
        <w:t>Communications, Repairs</w:t>
      </w:r>
      <w:r w:rsidRPr="000362A0">
        <w:rPr>
          <w:rFonts w:ascii="Arial" w:eastAsia="Times New Roman" w:hAnsi="Arial" w:cs="Arial"/>
        </w:rPr>
        <w:t xml:space="preserve">, maintenance and environmental services, Getting </w:t>
      </w:r>
      <w:r w:rsidR="00297716">
        <w:rPr>
          <w:rFonts w:ascii="Arial" w:eastAsia="Times New Roman" w:hAnsi="Arial" w:cs="Arial"/>
        </w:rPr>
        <w:t>I</w:t>
      </w:r>
      <w:r w:rsidRPr="000362A0">
        <w:rPr>
          <w:rFonts w:ascii="Arial" w:eastAsia="Times New Roman" w:hAnsi="Arial" w:cs="Arial"/>
        </w:rPr>
        <w:t xml:space="preserve">nvolved, Complaints, compliments &amp; enquiries, Care &amp; Support, Leaseholders &amp; Home </w:t>
      </w:r>
      <w:r w:rsidR="00297716">
        <w:rPr>
          <w:rFonts w:ascii="Arial" w:eastAsia="Times New Roman" w:hAnsi="Arial" w:cs="Arial"/>
        </w:rPr>
        <w:t>O</w:t>
      </w:r>
      <w:r w:rsidRPr="000362A0">
        <w:rPr>
          <w:rFonts w:ascii="Arial" w:eastAsia="Times New Roman" w:hAnsi="Arial" w:cs="Arial"/>
        </w:rPr>
        <w:t>wnership and New Homes and exchanges.</w:t>
      </w:r>
    </w:p>
    <w:p w14:paraId="3D5C198B" w14:textId="77777777" w:rsidR="002D17F0" w:rsidRDefault="002D17F0" w:rsidP="0098685F">
      <w:pPr>
        <w:rPr>
          <w:rFonts w:ascii="Arial" w:eastAsia="Times New Roman" w:hAnsi="Arial" w:cs="Arial"/>
          <w:b/>
          <w:bCs/>
        </w:rPr>
      </w:pPr>
    </w:p>
    <w:p w14:paraId="4A86B98D" w14:textId="77777777" w:rsidR="002D17F0" w:rsidRDefault="002D17F0" w:rsidP="0098685F">
      <w:pPr>
        <w:rPr>
          <w:rFonts w:ascii="Arial" w:eastAsia="Times New Roman" w:hAnsi="Arial" w:cs="Arial"/>
          <w:b/>
          <w:bCs/>
        </w:rPr>
      </w:pPr>
    </w:p>
    <w:p w14:paraId="605A844F" w14:textId="114CCDFA" w:rsidR="0098685F" w:rsidRDefault="00B8399D" w:rsidP="0098685F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lastRenderedPageBreak/>
        <w:t>Damp and Mould Policy</w:t>
      </w:r>
    </w:p>
    <w:p w14:paraId="0DA834BC" w14:textId="0AE028A9" w:rsidR="0098685F" w:rsidRPr="0098685F" w:rsidRDefault="0098685F" w:rsidP="0098685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Following on from the </w:t>
      </w:r>
      <w:r w:rsidR="002D17F0">
        <w:rPr>
          <w:rFonts w:ascii="Arial" w:eastAsia="Times New Roman" w:hAnsi="Arial" w:cs="Arial"/>
        </w:rPr>
        <w:t xml:space="preserve">last discussion, the </w:t>
      </w:r>
      <w:r w:rsidR="006F350F">
        <w:rPr>
          <w:rFonts w:ascii="Arial" w:eastAsia="Times New Roman" w:hAnsi="Arial" w:cs="Arial"/>
        </w:rPr>
        <w:t>D</w:t>
      </w:r>
      <w:r w:rsidR="002D17F0">
        <w:rPr>
          <w:rFonts w:ascii="Arial" w:eastAsia="Times New Roman" w:hAnsi="Arial" w:cs="Arial"/>
        </w:rPr>
        <w:t xml:space="preserve">amp and </w:t>
      </w:r>
      <w:r w:rsidR="006F350F">
        <w:rPr>
          <w:rFonts w:ascii="Arial" w:eastAsia="Times New Roman" w:hAnsi="Arial" w:cs="Arial"/>
        </w:rPr>
        <w:t>M</w:t>
      </w:r>
      <w:r w:rsidR="002D17F0">
        <w:rPr>
          <w:rFonts w:ascii="Arial" w:eastAsia="Times New Roman" w:hAnsi="Arial" w:cs="Arial"/>
        </w:rPr>
        <w:t xml:space="preserve">ould policy </w:t>
      </w:r>
      <w:r w:rsidRPr="000362A0">
        <w:rPr>
          <w:rFonts w:ascii="Arial" w:eastAsia="Times New Roman" w:hAnsi="Arial" w:cs="Arial"/>
        </w:rPr>
        <w:t xml:space="preserve">has </w:t>
      </w:r>
      <w:r w:rsidR="006F350F">
        <w:rPr>
          <w:rFonts w:ascii="Arial" w:eastAsia="Times New Roman" w:hAnsi="Arial" w:cs="Arial"/>
        </w:rPr>
        <w:t xml:space="preserve">been considered by both organisations involved residents groups and comments are being reviewed to produce a final draft Policy for consideration.  </w:t>
      </w:r>
      <w:r w:rsidRPr="000362A0">
        <w:rPr>
          <w:rFonts w:ascii="Arial" w:eastAsia="Times New Roman" w:hAnsi="Arial" w:cs="Arial"/>
        </w:rPr>
        <w:t xml:space="preserve">  </w:t>
      </w:r>
    </w:p>
    <w:p w14:paraId="13344830" w14:textId="1F4454EB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It is recognised that many homes </w:t>
      </w:r>
      <w:r w:rsidR="00295FB1">
        <w:rPr>
          <w:rFonts w:ascii="Arial" w:eastAsia="Times New Roman" w:hAnsi="Arial" w:cs="Arial"/>
        </w:rPr>
        <w:t xml:space="preserve">can experience </w:t>
      </w:r>
      <w:r w:rsidRPr="00B8399D">
        <w:rPr>
          <w:rFonts w:ascii="Arial" w:eastAsia="Times New Roman" w:hAnsi="Arial" w:cs="Arial"/>
        </w:rPr>
        <w:t>damp and mould</w:t>
      </w:r>
      <w:r w:rsidR="00295FB1">
        <w:rPr>
          <w:rFonts w:ascii="Arial" w:eastAsia="Times New Roman" w:hAnsi="Arial" w:cs="Arial"/>
        </w:rPr>
        <w:t xml:space="preserve"> and </w:t>
      </w:r>
      <w:r w:rsidRPr="00B8399D">
        <w:rPr>
          <w:rFonts w:ascii="Arial" w:eastAsia="Times New Roman" w:hAnsi="Arial" w:cs="Arial"/>
        </w:rPr>
        <w:t xml:space="preserve">the </w:t>
      </w:r>
      <w:r w:rsidR="00295FB1">
        <w:rPr>
          <w:rFonts w:ascii="Arial" w:eastAsia="Times New Roman" w:hAnsi="Arial" w:cs="Arial"/>
        </w:rPr>
        <w:t>new P</w:t>
      </w:r>
      <w:r w:rsidRPr="00B8399D">
        <w:rPr>
          <w:rFonts w:ascii="Arial" w:eastAsia="Times New Roman" w:hAnsi="Arial" w:cs="Arial"/>
        </w:rPr>
        <w:t xml:space="preserve">olicy outlines preventative measures and </w:t>
      </w:r>
      <w:r w:rsidR="00295FB1">
        <w:rPr>
          <w:rFonts w:ascii="Arial" w:eastAsia="Times New Roman" w:hAnsi="Arial" w:cs="Arial"/>
        </w:rPr>
        <w:t xml:space="preserve">how to </w:t>
      </w:r>
      <w:r w:rsidRPr="00B8399D">
        <w:rPr>
          <w:rFonts w:ascii="Arial" w:eastAsia="Times New Roman" w:hAnsi="Arial" w:cs="Arial"/>
        </w:rPr>
        <w:t>deal with cases in a timely way. This will be followed up with training and development for teams to be more responsive to cases</w:t>
      </w:r>
      <w:r w:rsidR="00295FB1">
        <w:rPr>
          <w:rFonts w:ascii="Arial" w:eastAsia="Times New Roman" w:hAnsi="Arial" w:cs="Arial"/>
        </w:rPr>
        <w:t xml:space="preserve"> that arise.</w:t>
      </w:r>
    </w:p>
    <w:p w14:paraId="49202E12" w14:textId="714D9C3E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Communities and Livelihoods Fund </w:t>
      </w:r>
    </w:p>
    <w:p w14:paraId="58E5D96A" w14:textId="669C3EFE" w:rsidR="00295FB1" w:rsidRDefault="002D17F0" w:rsidP="00B8399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This was not discussed at the last </w:t>
      </w:r>
      <w:proofErr w:type="gramStart"/>
      <w:r>
        <w:rPr>
          <w:rFonts w:ascii="Arial" w:eastAsia="Times New Roman" w:hAnsi="Arial" w:cs="Arial"/>
        </w:rPr>
        <w:t>meeting</w:t>
      </w:r>
      <w:proofErr w:type="gramEnd"/>
      <w:r>
        <w:rPr>
          <w:rFonts w:ascii="Arial" w:eastAsia="Times New Roman" w:hAnsi="Arial" w:cs="Arial"/>
        </w:rPr>
        <w:t xml:space="preserve"> but this is an opportunity to remind residents that a</w:t>
      </w:r>
      <w:r w:rsidR="00295FB1" w:rsidRPr="00B8399D">
        <w:rPr>
          <w:rFonts w:ascii="Arial" w:eastAsia="Times New Roman" w:hAnsi="Arial" w:cs="Arial"/>
        </w:rPr>
        <w:t xml:space="preserve"> Communities and Livelihoods Fund of £2.5m a year has been agreed which will be administered by the Riverside Foundation. This fund is to help sustain tenancies, build</w:t>
      </w:r>
      <w:r w:rsidR="00295FB1">
        <w:rPr>
          <w:rFonts w:ascii="Arial" w:eastAsia="Times New Roman" w:hAnsi="Arial" w:cs="Arial"/>
        </w:rPr>
        <w:t xml:space="preserve"> </w:t>
      </w:r>
      <w:proofErr w:type="gramStart"/>
      <w:r w:rsidR="00295FB1" w:rsidRPr="00B8399D">
        <w:rPr>
          <w:rFonts w:ascii="Arial" w:eastAsia="Times New Roman" w:hAnsi="Arial" w:cs="Arial"/>
        </w:rPr>
        <w:t>communities</w:t>
      </w:r>
      <w:proofErr w:type="gramEnd"/>
      <w:r w:rsidR="00295FB1" w:rsidRPr="00B8399D">
        <w:rPr>
          <w:rFonts w:ascii="Arial" w:eastAsia="Times New Roman" w:hAnsi="Arial" w:cs="Arial"/>
        </w:rPr>
        <w:t xml:space="preserve"> and improve the lives of residents</w:t>
      </w:r>
    </w:p>
    <w:p w14:paraId="7294399C" w14:textId="64D4F5C8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The criteria for the funds </w:t>
      </w:r>
      <w:r w:rsidR="00295FB1">
        <w:rPr>
          <w:rFonts w:ascii="Arial" w:eastAsia="Times New Roman" w:hAnsi="Arial" w:cs="Arial"/>
        </w:rPr>
        <w:t xml:space="preserve">Helping Hands and Community funds </w:t>
      </w:r>
      <w:r w:rsidRPr="00B8399D">
        <w:rPr>
          <w:rFonts w:ascii="Arial" w:eastAsia="Times New Roman" w:hAnsi="Arial" w:cs="Arial"/>
        </w:rPr>
        <w:t xml:space="preserve">have </w:t>
      </w:r>
      <w:r w:rsidR="00941F3A">
        <w:rPr>
          <w:rFonts w:ascii="Arial" w:eastAsia="Times New Roman" w:hAnsi="Arial" w:cs="Arial"/>
        </w:rPr>
        <w:t xml:space="preserve">now </w:t>
      </w:r>
      <w:r w:rsidRPr="00B8399D">
        <w:rPr>
          <w:rFonts w:ascii="Arial" w:eastAsia="Times New Roman" w:hAnsi="Arial" w:cs="Arial"/>
        </w:rPr>
        <w:t xml:space="preserve">been agreed and teams are working to get </w:t>
      </w:r>
      <w:r w:rsidR="00295FB1">
        <w:rPr>
          <w:rFonts w:ascii="Arial" w:eastAsia="Times New Roman" w:hAnsi="Arial" w:cs="Arial"/>
        </w:rPr>
        <w:t xml:space="preserve">these </w:t>
      </w:r>
      <w:r w:rsidRPr="00B8399D">
        <w:rPr>
          <w:rFonts w:ascii="Arial" w:eastAsia="Times New Roman" w:hAnsi="Arial" w:cs="Arial"/>
        </w:rPr>
        <w:t xml:space="preserve">launched </w:t>
      </w:r>
      <w:r w:rsidR="00295FB1">
        <w:rPr>
          <w:rFonts w:ascii="Arial" w:eastAsia="Times New Roman" w:hAnsi="Arial" w:cs="Arial"/>
        </w:rPr>
        <w:t xml:space="preserve">shortly. A </w:t>
      </w:r>
      <w:r w:rsidRPr="00B8399D">
        <w:rPr>
          <w:rFonts w:ascii="Arial" w:eastAsia="Times New Roman" w:hAnsi="Arial" w:cs="Arial"/>
        </w:rPr>
        <w:t>procurement process</w:t>
      </w:r>
      <w:r w:rsidR="00295FB1">
        <w:rPr>
          <w:rFonts w:ascii="Arial" w:eastAsia="Times New Roman" w:hAnsi="Arial" w:cs="Arial"/>
        </w:rPr>
        <w:t xml:space="preserve"> is underway to support the delivery of </w:t>
      </w:r>
      <w:r w:rsidRPr="00B8399D">
        <w:rPr>
          <w:rFonts w:ascii="Arial" w:eastAsia="Times New Roman" w:hAnsi="Arial" w:cs="Arial"/>
        </w:rPr>
        <w:t>the ‘Helping Hands’ fund.</w:t>
      </w:r>
    </w:p>
    <w:p w14:paraId="239C2B75" w14:textId="63CDC65F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 xml:space="preserve">The Community Fund will offer grants </w:t>
      </w:r>
      <w:r w:rsidR="00295FB1">
        <w:rPr>
          <w:rFonts w:ascii="Arial" w:eastAsia="Times New Roman" w:hAnsi="Arial" w:cs="Arial"/>
        </w:rPr>
        <w:t xml:space="preserve">of </w:t>
      </w:r>
      <w:r w:rsidRPr="00B8399D">
        <w:rPr>
          <w:rFonts w:ascii="Arial" w:eastAsia="Times New Roman" w:hAnsi="Arial" w:cs="Arial"/>
        </w:rPr>
        <w:t>up to £10</w:t>
      </w:r>
      <w:r w:rsidR="00295FB1">
        <w:rPr>
          <w:rFonts w:ascii="Arial" w:eastAsia="Times New Roman" w:hAnsi="Arial" w:cs="Arial"/>
        </w:rPr>
        <w:t>k</w:t>
      </w:r>
      <w:r w:rsidRPr="00B8399D">
        <w:rPr>
          <w:rFonts w:ascii="Arial" w:eastAsia="Times New Roman" w:hAnsi="Arial" w:cs="Arial"/>
        </w:rPr>
        <w:t xml:space="preserve"> for community projects. Funding will be in 3 bands:</w:t>
      </w:r>
    </w:p>
    <w:p w14:paraId="393BDBCE" w14:textId="77777777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•</w:t>
      </w:r>
      <w:r w:rsidRPr="00B8399D">
        <w:rPr>
          <w:rFonts w:ascii="Arial" w:eastAsia="Times New Roman" w:hAnsi="Arial" w:cs="Arial"/>
        </w:rPr>
        <w:tab/>
        <w:t xml:space="preserve">Small grants up to £3k, </w:t>
      </w:r>
    </w:p>
    <w:p w14:paraId="486C3F6F" w14:textId="77777777" w:rsidR="00B8399D" w:rsidRP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•</w:t>
      </w:r>
      <w:r w:rsidRPr="00B8399D">
        <w:rPr>
          <w:rFonts w:ascii="Arial" w:eastAsia="Times New Roman" w:hAnsi="Arial" w:cs="Arial"/>
        </w:rPr>
        <w:tab/>
        <w:t xml:space="preserve">Medium size projects - £3k to £10k, </w:t>
      </w:r>
    </w:p>
    <w:p w14:paraId="61942452" w14:textId="208E5408" w:rsidR="00B8399D" w:rsidRDefault="00B8399D" w:rsidP="00B8399D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•</w:t>
      </w:r>
      <w:r w:rsidRPr="00B8399D">
        <w:rPr>
          <w:rFonts w:ascii="Arial" w:eastAsia="Times New Roman" w:hAnsi="Arial" w:cs="Arial"/>
        </w:rPr>
        <w:tab/>
        <w:t xml:space="preserve">larger projects where match funding would be needed – over £10K. </w:t>
      </w:r>
    </w:p>
    <w:bookmarkEnd w:id="0"/>
    <w:p w14:paraId="31DD5B12" w14:textId="77777777" w:rsidR="00AE32F1" w:rsidRDefault="00AE32F1" w:rsidP="00AE32F1">
      <w:pPr>
        <w:tabs>
          <w:tab w:val="left" w:pos="3480"/>
        </w:tabs>
        <w:jc w:val="both"/>
        <w:rPr>
          <w:rFonts w:ascii="Arial" w:eastAsia="Times New Roman" w:hAnsi="Arial" w:cs="Arial"/>
        </w:rPr>
      </w:pPr>
    </w:p>
    <w:p w14:paraId="1E6113E4" w14:textId="320BAB2F" w:rsidR="00AE32F1" w:rsidRPr="00AE32F1" w:rsidRDefault="00AE32F1" w:rsidP="00AE32F1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AE32F1">
        <w:rPr>
          <w:rFonts w:ascii="Arial" w:eastAsia="Times New Roman" w:hAnsi="Arial" w:cs="Arial"/>
        </w:rPr>
        <w:t xml:space="preserve">The </w:t>
      </w:r>
      <w:r w:rsidR="00295FB1">
        <w:rPr>
          <w:rFonts w:ascii="Arial" w:eastAsia="Times New Roman" w:hAnsi="Arial" w:cs="Arial"/>
        </w:rPr>
        <w:t xml:space="preserve">Helping Hands </w:t>
      </w:r>
      <w:r w:rsidRPr="00AE32F1">
        <w:rPr>
          <w:rFonts w:ascii="Arial" w:eastAsia="Times New Roman" w:hAnsi="Arial" w:cs="Arial"/>
        </w:rPr>
        <w:t>Fund will be available to offer emergency support for customers. Riverside and One Housing team members will be on hand to support customers to access the fund.</w:t>
      </w:r>
    </w:p>
    <w:p w14:paraId="380E2FB0" w14:textId="098D4B9E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6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20E9C471" w:rsid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p w14:paraId="06E48B8D" w14:textId="77777777" w:rsidR="00FB79E5" w:rsidRDefault="00FB79E5" w:rsidP="00FB79E5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4321E896" w14:textId="24623897" w:rsidR="00FB79E5" w:rsidRPr="00A97441" w:rsidRDefault="00FB79E5" w:rsidP="00FB79E5">
      <w:pPr>
        <w:rPr>
          <w:rFonts w:ascii="Arial" w:hAnsi="Arial" w:cs="Arial"/>
          <w:color w:val="0563C1" w:themeColor="hyperlink"/>
          <w:u w:val="single"/>
        </w:rPr>
      </w:pPr>
    </w:p>
    <w:sectPr w:rsidR="00FB79E5" w:rsidRPr="00A97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abstractNum w:abstractNumId="4" w15:restartNumberingAfterBreak="0">
    <w:nsid w:val="383B7A60"/>
    <w:multiLevelType w:val="hybridMultilevel"/>
    <w:tmpl w:val="1452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30A0A"/>
    <w:rsid w:val="000362A0"/>
    <w:rsid w:val="00085A9F"/>
    <w:rsid w:val="00086A62"/>
    <w:rsid w:val="000A0161"/>
    <w:rsid w:val="000C1059"/>
    <w:rsid w:val="00106BE5"/>
    <w:rsid w:val="001426BD"/>
    <w:rsid w:val="001714EF"/>
    <w:rsid w:val="00173D52"/>
    <w:rsid w:val="00180377"/>
    <w:rsid w:val="001A5763"/>
    <w:rsid w:val="001B18A0"/>
    <w:rsid w:val="001B3D3D"/>
    <w:rsid w:val="001D16C3"/>
    <w:rsid w:val="001D1976"/>
    <w:rsid w:val="001E7C05"/>
    <w:rsid w:val="00213326"/>
    <w:rsid w:val="00220B1E"/>
    <w:rsid w:val="00221992"/>
    <w:rsid w:val="00264039"/>
    <w:rsid w:val="0027137F"/>
    <w:rsid w:val="00295FB1"/>
    <w:rsid w:val="00297716"/>
    <w:rsid w:val="002977C7"/>
    <w:rsid w:val="002A6316"/>
    <w:rsid w:val="002C0E00"/>
    <w:rsid w:val="002D17F0"/>
    <w:rsid w:val="002E2550"/>
    <w:rsid w:val="002F4CC2"/>
    <w:rsid w:val="002F7936"/>
    <w:rsid w:val="0034480F"/>
    <w:rsid w:val="00397796"/>
    <w:rsid w:val="003B1984"/>
    <w:rsid w:val="003C569C"/>
    <w:rsid w:val="003F1BD3"/>
    <w:rsid w:val="003F3121"/>
    <w:rsid w:val="00401A71"/>
    <w:rsid w:val="0046114D"/>
    <w:rsid w:val="0048357F"/>
    <w:rsid w:val="00490BD3"/>
    <w:rsid w:val="004E2A31"/>
    <w:rsid w:val="00517B3B"/>
    <w:rsid w:val="00533619"/>
    <w:rsid w:val="005413B6"/>
    <w:rsid w:val="005715D5"/>
    <w:rsid w:val="0057458B"/>
    <w:rsid w:val="00583ACC"/>
    <w:rsid w:val="005B186A"/>
    <w:rsid w:val="005B2935"/>
    <w:rsid w:val="005B32B3"/>
    <w:rsid w:val="005E018B"/>
    <w:rsid w:val="005F3B2E"/>
    <w:rsid w:val="00612A94"/>
    <w:rsid w:val="006363B3"/>
    <w:rsid w:val="00646366"/>
    <w:rsid w:val="00670905"/>
    <w:rsid w:val="006768E0"/>
    <w:rsid w:val="00687D93"/>
    <w:rsid w:val="006922A8"/>
    <w:rsid w:val="006A7CE1"/>
    <w:rsid w:val="006B1354"/>
    <w:rsid w:val="006B2C90"/>
    <w:rsid w:val="006B628F"/>
    <w:rsid w:val="006C12A2"/>
    <w:rsid w:val="006D3353"/>
    <w:rsid w:val="006F350F"/>
    <w:rsid w:val="007972FE"/>
    <w:rsid w:val="007A09E3"/>
    <w:rsid w:val="007B5201"/>
    <w:rsid w:val="007B641A"/>
    <w:rsid w:val="00803969"/>
    <w:rsid w:val="00806CEA"/>
    <w:rsid w:val="008164F0"/>
    <w:rsid w:val="0084050C"/>
    <w:rsid w:val="00853985"/>
    <w:rsid w:val="00871E3B"/>
    <w:rsid w:val="008753FD"/>
    <w:rsid w:val="00884A90"/>
    <w:rsid w:val="008935E7"/>
    <w:rsid w:val="008B6269"/>
    <w:rsid w:val="008C2D8B"/>
    <w:rsid w:val="008E1AFF"/>
    <w:rsid w:val="008E5699"/>
    <w:rsid w:val="008F2EC2"/>
    <w:rsid w:val="00941F3A"/>
    <w:rsid w:val="009715C1"/>
    <w:rsid w:val="00976B31"/>
    <w:rsid w:val="0098685F"/>
    <w:rsid w:val="009876A2"/>
    <w:rsid w:val="009E484F"/>
    <w:rsid w:val="00A4296A"/>
    <w:rsid w:val="00A738E8"/>
    <w:rsid w:val="00A82BCA"/>
    <w:rsid w:val="00A84AD3"/>
    <w:rsid w:val="00A90C6E"/>
    <w:rsid w:val="00A97441"/>
    <w:rsid w:val="00AD4687"/>
    <w:rsid w:val="00AE32F1"/>
    <w:rsid w:val="00B01F8B"/>
    <w:rsid w:val="00B342BB"/>
    <w:rsid w:val="00B56859"/>
    <w:rsid w:val="00B72CD0"/>
    <w:rsid w:val="00B77E85"/>
    <w:rsid w:val="00B8399D"/>
    <w:rsid w:val="00B97D7D"/>
    <w:rsid w:val="00BA7E19"/>
    <w:rsid w:val="00BD7B83"/>
    <w:rsid w:val="00C013C0"/>
    <w:rsid w:val="00C34381"/>
    <w:rsid w:val="00C352EF"/>
    <w:rsid w:val="00C37156"/>
    <w:rsid w:val="00C4106D"/>
    <w:rsid w:val="00C449DB"/>
    <w:rsid w:val="00C52615"/>
    <w:rsid w:val="00C73112"/>
    <w:rsid w:val="00C74454"/>
    <w:rsid w:val="00CA0D5E"/>
    <w:rsid w:val="00CF4792"/>
    <w:rsid w:val="00CF503C"/>
    <w:rsid w:val="00D3132D"/>
    <w:rsid w:val="00D968CB"/>
    <w:rsid w:val="00DA3566"/>
    <w:rsid w:val="00DF6FDE"/>
    <w:rsid w:val="00E052B3"/>
    <w:rsid w:val="00E07396"/>
    <w:rsid w:val="00E103D9"/>
    <w:rsid w:val="00E1506F"/>
    <w:rsid w:val="00E16873"/>
    <w:rsid w:val="00E80DC7"/>
    <w:rsid w:val="00E90406"/>
    <w:rsid w:val="00EE20A1"/>
    <w:rsid w:val="00EE483D"/>
    <w:rsid w:val="00F21E4A"/>
    <w:rsid w:val="00F242C2"/>
    <w:rsid w:val="00F46674"/>
    <w:rsid w:val="00F4767C"/>
    <w:rsid w:val="00F50FF1"/>
    <w:rsid w:val="00F5202B"/>
    <w:rsid w:val="00FB79E5"/>
    <w:rsid w:val="00FC304F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tengagements@onehousing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Sandra Fawcett</cp:lastModifiedBy>
  <cp:revision>2</cp:revision>
  <dcterms:created xsi:type="dcterms:W3CDTF">2022-07-04T10:43:00Z</dcterms:created>
  <dcterms:modified xsi:type="dcterms:W3CDTF">2022-07-04T10:43:00Z</dcterms:modified>
</cp:coreProperties>
</file>