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924F" w14:textId="572537BE" w:rsidR="0061040F" w:rsidRDefault="00281BED">
      <w:r w:rsidRPr="0061040F">
        <w:rPr>
          <w:noProof/>
          <w:lang w:eastAsia="en-GB"/>
        </w:rPr>
        <w:drawing>
          <wp:anchor distT="0" distB="0" distL="114300" distR="114300" simplePos="0" relativeHeight="251660288" behindDoc="0" locked="0" layoutInCell="1" allowOverlap="1" wp14:anchorId="69D6E489" wp14:editId="2CA97285">
            <wp:simplePos x="0" y="0"/>
            <wp:positionH relativeFrom="column">
              <wp:posOffset>0</wp:posOffset>
            </wp:positionH>
            <wp:positionV relativeFrom="paragraph">
              <wp:posOffset>80645</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13FC751B" w:rsidR="0061040F" w:rsidRDefault="0061040F"/>
    <w:p w14:paraId="3A05B783" w14:textId="665482EC" w:rsidR="0061040F" w:rsidRDefault="0061040F" w:rsidP="0061040F">
      <w:pPr>
        <w:jc w:val="center"/>
      </w:pPr>
    </w:p>
    <w:p w14:paraId="1E20CC79" w14:textId="77777777" w:rsidR="0061040F" w:rsidRPr="0061040F" w:rsidRDefault="0061040F" w:rsidP="00713BDB"/>
    <w:p w14:paraId="6B50FB52" w14:textId="334F0350" w:rsidR="004E219C" w:rsidRDefault="00F717B8" w:rsidP="0061040F">
      <w:pPr>
        <w:jc w:val="center"/>
        <w:rPr>
          <w:sz w:val="96"/>
          <w:szCs w:val="96"/>
        </w:rPr>
      </w:pPr>
      <w:r>
        <w:rPr>
          <w:sz w:val="96"/>
          <w:szCs w:val="96"/>
        </w:rPr>
        <w:t>Service Charge Policy</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04A2AD3D" w:rsidR="00F947D7" w:rsidRPr="0061040F" w:rsidRDefault="00D93D76" w:rsidP="00853BEB">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Customer Service</w:t>
            </w:r>
          </w:p>
        </w:tc>
      </w:tr>
    </w:tbl>
    <w:p w14:paraId="1CC66FED" w14:textId="77777777" w:rsidR="0061040F" w:rsidRDefault="00713BDB" w:rsidP="00713BDB">
      <w:pPr>
        <w:tabs>
          <w:tab w:val="left" w:pos="7695"/>
        </w:tabs>
      </w:pPr>
      <w:r>
        <w:tab/>
      </w:r>
    </w:p>
    <w:p w14:paraId="03C0A9BF" w14:textId="6193E303" w:rsidR="00F947D7" w:rsidRDefault="00F947D7">
      <w:r>
        <w:br w:type="page"/>
      </w:r>
    </w:p>
    <w:p w14:paraId="0178E307" w14:textId="77777777" w:rsidR="0061040F" w:rsidRDefault="0061040F"/>
    <w:p w14:paraId="113CC547"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1</w:t>
      </w:r>
      <w:r w:rsidRPr="00594E9C">
        <w:rPr>
          <w:rFonts w:ascii="Arial" w:hAnsi="Arial"/>
          <w:i w:val="0"/>
          <w:iCs w:val="0"/>
          <w:color w:val="199DAF"/>
          <w:sz w:val="24"/>
          <w:szCs w:val="22"/>
        </w:rPr>
        <w:t xml:space="preserve">. </w:t>
      </w:r>
      <w:r>
        <w:rPr>
          <w:rFonts w:ascii="Arial" w:hAnsi="Arial"/>
          <w:i w:val="0"/>
          <w:iCs w:val="0"/>
          <w:color w:val="199DAF"/>
          <w:sz w:val="24"/>
          <w:szCs w:val="22"/>
        </w:rPr>
        <w:t>Purpose</w:t>
      </w:r>
      <w:r w:rsidRPr="00594E9C">
        <w:rPr>
          <w:rFonts w:ascii="Arial" w:hAnsi="Arial"/>
          <w:i w:val="0"/>
          <w:iCs w:val="0"/>
          <w:color w:val="199DAF"/>
          <w:sz w:val="24"/>
          <w:szCs w:val="22"/>
        </w:rPr>
        <w:t xml:space="preserve"> </w:t>
      </w:r>
    </w:p>
    <w:p w14:paraId="402439AC" w14:textId="77777777" w:rsidR="00721D89" w:rsidRDefault="00721D89" w:rsidP="00D66A24">
      <w:pPr>
        <w:jc w:val="both"/>
        <w:rPr>
          <w:rFonts w:ascii="Arial" w:hAnsi="Arial"/>
        </w:rPr>
      </w:pPr>
    </w:p>
    <w:p w14:paraId="6B321915" w14:textId="477EB7F6" w:rsidR="00BA4375" w:rsidRPr="00995B65" w:rsidRDefault="00BA4375" w:rsidP="00BA4375">
      <w:pPr>
        <w:jc w:val="both"/>
        <w:rPr>
          <w:rFonts w:ascii="Arial" w:hAnsi="Arial"/>
        </w:rPr>
      </w:pPr>
      <w:r w:rsidRPr="00995B65">
        <w:rPr>
          <w:rFonts w:ascii="Arial" w:hAnsi="Arial"/>
        </w:rPr>
        <w:t>Th</w:t>
      </w:r>
      <w:r w:rsidR="0029449D" w:rsidRPr="00995B65">
        <w:rPr>
          <w:rFonts w:ascii="Arial" w:hAnsi="Arial"/>
        </w:rPr>
        <w:t>e Service Charge</w:t>
      </w:r>
      <w:r w:rsidRPr="00995B65">
        <w:rPr>
          <w:rFonts w:ascii="Arial" w:hAnsi="Arial"/>
        </w:rPr>
        <w:t xml:space="preserve"> policy sets out </w:t>
      </w:r>
      <w:r w:rsidR="0029449D" w:rsidRPr="00995B65">
        <w:rPr>
          <w:rFonts w:ascii="Arial" w:hAnsi="Arial"/>
        </w:rPr>
        <w:t xml:space="preserve">the Riverside’s Group </w:t>
      </w:r>
      <w:r w:rsidR="00CE07F1" w:rsidRPr="00995B65">
        <w:rPr>
          <w:rFonts w:ascii="Arial" w:hAnsi="Arial"/>
        </w:rPr>
        <w:t xml:space="preserve">Limited approach to </w:t>
      </w:r>
      <w:r w:rsidRPr="00995B65">
        <w:rPr>
          <w:rFonts w:ascii="Arial" w:hAnsi="Arial"/>
        </w:rPr>
        <w:t xml:space="preserve">how we determine, review and manage service charges across all properties that have a service charge. These principles ensure that our service charges are fair, reasonable, transparent, </w:t>
      </w:r>
      <w:r w:rsidR="00811D75" w:rsidRPr="00995B65">
        <w:rPr>
          <w:rFonts w:ascii="Arial" w:hAnsi="Arial"/>
        </w:rPr>
        <w:t xml:space="preserve">accurate </w:t>
      </w:r>
      <w:r w:rsidRPr="00995B65">
        <w:rPr>
          <w:rFonts w:ascii="Arial" w:hAnsi="Arial"/>
        </w:rPr>
        <w:t xml:space="preserve">and consistent. </w:t>
      </w:r>
    </w:p>
    <w:p w14:paraId="1F64B373" w14:textId="6CC22B45" w:rsidR="00BB1DF6" w:rsidRPr="00995B65" w:rsidRDefault="00BB1DF6" w:rsidP="00BA4375">
      <w:pPr>
        <w:jc w:val="both"/>
        <w:rPr>
          <w:rFonts w:ascii="Arial" w:hAnsi="Arial"/>
        </w:rPr>
      </w:pPr>
      <w:r w:rsidRPr="00995B65">
        <w:rPr>
          <w:rFonts w:ascii="Arial" w:hAnsi="Arial"/>
        </w:rPr>
        <w:t>We will meet the requirements of the Landlord and Tenant Act 1985</w:t>
      </w:r>
      <w:r w:rsidR="00A235EF" w:rsidRPr="00995B65">
        <w:rPr>
          <w:rFonts w:ascii="Arial" w:hAnsi="Arial"/>
        </w:rPr>
        <w:t>,</w:t>
      </w:r>
      <w:r w:rsidRPr="00995B65">
        <w:rPr>
          <w:rFonts w:ascii="Arial" w:hAnsi="Arial"/>
        </w:rPr>
        <w:t xml:space="preserve"> as amended</w:t>
      </w:r>
      <w:r w:rsidR="00A235EF" w:rsidRPr="00995B65">
        <w:rPr>
          <w:rFonts w:ascii="Arial" w:hAnsi="Arial"/>
        </w:rPr>
        <w:t>,</w:t>
      </w:r>
      <w:r w:rsidRPr="00995B65">
        <w:rPr>
          <w:rFonts w:ascii="Arial" w:hAnsi="Arial"/>
        </w:rPr>
        <w:t xml:space="preserve"> if the service charges are variable. We will meet the requirements of the Housing Act 1988 if the charges are fixed.</w:t>
      </w:r>
    </w:p>
    <w:p w14:paraId="56CDC962" w14:textId="77777777" w:rsidR="00E55EC7" w:rsidRPr="00995B65" w:rsidRDefault="005A7CAD" w:rsidP="00D66A24">
      <w:pPr>
        <w:jc w:val="both"/>
        <w:rPr>
          <w:rFonts w:ascii="Arial" w:hAnsi="Arial"/>
        </w:rPr>
      </w:pPr>
      <w:r w:rsidRPr="00995B65">
        <w:rPr>
          <w:rFonts w:ascii="Arial" w:hAnsi="Arial"/>
        </w:rPr>
        <w:t xml:space="preserve">The policy takes account of The Government’s Policy Statement on Rents for Social Housing (updated December 2022). This includes the following expectations, that: </w:t>
      </w:r>
    </w:p>
    <w:p w14:paraId="5B44F779" w14:textId="6B7C74E0" w:rsidR="00E55EC7"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Registered Providers set reasonable and transparent service charges which reflect the service being provided to tenants</w:t>
      </w:r>
      <w:r w:rsidR="00A235EF" w:rsidRPr="00995B65">
        <w:rPr>
          <w:rFonts w:ascii="Arial" w:hAnsi="Arial"/>
        </w:rPr>
        <w:t>.</w:t>
      </w:r>
      <w:r w:rsidRPr="00995B65">
        <w:rPr>
          <w:rFonts w:ascii="Arial" w:hAnsi="Arial"/>
        </w:rPr>
        <w:t xml:space="preserve"> </w:t>
      </w:r>
    </w:p>
    <w:p w14:paraId="6716A8AC" w14:textId="77777777" w:rsidR="00E55EC7"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Tenants should be supplied with clear information on how service charges are set, and </w:t>
      </w:r>
    </w:p>
    <w:p w14:paraId="0697A01F" w14:textId="77777777" w:rsidR="00E55EC7"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For social rent properties, service charges should be identified separately from the rent charge. </w:t>
      </w:r>
    </w:p>
    <w:p w14:paraId="2AAA5823" w14:textId="77777777" w:rsidR="000273CB" w:rsidRPr="00995B65" w:rsidRDefault="005A7CAD" w:rsidP="00D66A24">
      <w:pPr>
        <w:jc w:val="both"/>
        <w:rPr>
          <w:rFonts w:ascii="Arial" w:hAnsi="Arial"/>
        </w:rPr>
      </w:pPr>
      <w:r w:rsidRPr="00995B65">
        <w:rPr>
          <w:rFonts w:ascii="Arial" w:hAnsi="Arial"/>
        </w:rPr>
        <w:t xml:space="preserve">The policy also takes account of the following: </w:t>
      </w:r>
    </w:p>
    <w:p w14:paraId="54D4A2B3" w14:textId="7E735C56" w:rsidR="00664BCE"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Universal Credit Regulations 2013. This defines what is meant by a service charge for the purposes of benefits paid under Universal Credit. </w:t>
      </w:r>
    </w:p>
    <w:p w14:paraId="49F47CE1" w14:textId="77777777" w:rsidR="00664BCE"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Affordable Homes Programme 2021 - 26 and the Greater London Authority Affordable Homes Programme 2021-26. This includes the Right to Shared Ownership and the revised model lease for shared ownership which sets out clearer information about service charges. </w:t>
      </w:r>
    </w:p>
    <w:p w14:paraId="0068E413" w14:textId="09D4F62B" w:rsidR="00895267" w:rsidRPr="00995B65" w:rsidRDefault="005A7CAD" w:rsidP="00D66A24">
      <w:pPr>
        <w:jc w:val="both"/>
        <w:rPr>
          <w:rFonts w:ascii="Arial" w:hAnsi="Arial"/>
        </w:rPr>
      </w:pPr>
      <w:r w:rsidRPr="00995B65">
        <w:rPr>
          <w:rFonts w:ascii="Arial" w:hAnsi="Arial"/>
        </w:rPr>
        <w:sym w:font="Symbol" w:char="F0B7"/>
      </w:r>
      <w:r w:rsidRPr="00995B65">
        <w:rPr>
          <w:rFonts w:ascii="Arial" w:hAnsi="Arial"/>
        </w:rPr>
        <w:t xml:space="preserve"> Fire Safety Act 2021 and the Fire Safety (England) Regulations 2022. This requires landlords to undertake certain specific works which are rechargeable under the service charge. This may affect the charges we apply to some leaseholders who own their home outright and shared owners.</w:t>
      </w:r>
    </w:p>
    <w:p w14:paraId="3ECB82D2" w14:textId="77777777" w:rsidR="00853BEB" w:rsidRPr="00D66A24" w:rsidRDefault="00853BEB" w:rsidP="00D66A24">
      <w:pPr>
        <w:jc w:val="both"/>
        <w:rPr>
          <w:rFonts w:ascii="Arial" w:hAnsi="Arial"/>
          <w:i/>
        </w:rPr>
      </w:pPr>
    </w:p>
    <w:p w14:paraId="6576EC2C"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2</w:t>
      </w:r>
      <w:r w:rsidRPr="00594E9C">
        <w:rPr>
          <w:rFonts w:ascii="Arial" w:hAnsi="Arial"/>
          <w:i w:val="0"/>
          <w:iCs w:val="0"/>
          <w:color w:val="199DAF"/>
          <w:sz w:val="24"/>
          <w:szCs w:val="22"/>
        </w:rPr>
        <w:t xml:space="preserve">. </w:t>
      </w:r>
      <w:r>
        <w:rPr>
          <w:rFonts w:ascii="Arial" w:hAnsi="Arial"/>
          <w:i w:val="0"/>
          <w:iCs w:val="0"/>
          <w:color w:val="199DAF"/>
          <w:sz w:val="24"/>
          <w:szCs w:val="22"/>
        </w:rPr>
        <w:t>Scope</w:t>
      </w:r>
    </w:p>
    <w:p w14:paraId="53106F1F" w14:textId="77777777" w:rsidR="00721D89" w:rsidRDefault="00721D89" w:rsidP="0061040F">
      <w:pPr>
        <w:rPr>
          <w:rFonts w:ascii="Arial" w:hAnsi="Arial"/>
        </w:rPr>
      </w:pPr>
    </w:p>
    <w:p w14:paraId="424F7FDD" w14:textId="684D8DD2" w:rsidR="00A51FBC" w:rsidRPr="00995B65" w:rsidRDefault="00A51FBC" w:rsidP="007877B7">
      <w:pPr>
        <w:jc w:val="both"/>
        <w:rPr>
          <w:rFonts w:ascii="Arial" w:hAnsi="Arial"/>
        </w:rPr>
      </w:pPr>
      <w:r w:rsidRPr="00995B65">
        <w:rPr>
          <w:rFonts w:ascii="Arial" w:hAnsi="Arial"/>
        </w:rPr>
        <w:t>Service charges allow the recovery of the costs of Riverside providing services, maintenance, and Riversides’ costs of management.</w:t>
      </w:r>
      <w:r w:rsidR="00D114F6" w:rsidRPr="00995B65">
        <w:rPr>
          <w:rFonts w:ascii="Arial" w:hAnsi="Arial"/>
        </w:rPr>
        <w:t xml:space="preserve"> For tenants, i</w:t>
      </w:r>
      <w:r w:rsidRPr="00995B65">
        <w:rPr>
          <w:rFonts w:ascii="Arial" w:hAnsi="Arial"/>
        </w:rPr>
        <w:t xml:space="preserve">t is charged as part of, or in addition to, the rent. The liability of the Customer to contribute towards the costs by way of a service charge will usually attach to the right to use a service, rather than just the actual use of it. For example, the costs of providing a lift in a block of flats will usually be charged to all Customers in the block, even if some </w:t>
      </w:r>
      <w:r w:rsidR="00BB20B5" w:rsidRPr="00995B65">
        <w:rPr>
          <w:rFonts w:ascii="Arial" w:hAnsi="Arial"/>
        </w:rPr>
        <w:t xml:space="preserve">tenants or </w:t>
      </w:r>
      <w:r w:rsidR="008B7AF7" w:rsidRPr="00995B65">
        <w:rPr>
          <w:rFonts w:ascii="Arial" w:hAnsi="Arial"/>
        </w:rPr>
        <w:t xml:space="preserve">leaseholders </w:t>
      </w:r>
      <w:r w:rsidRPr="00995B65">
        <w:rPr>
          <w:rFonts w:ascii="Arial" w:hAnsi="Arial"/>
        </w:rPr>
        <w:t xml:space="preserve">are living on the ground floor and may not </w:t>
      </w:r>
      <w:r w:rsidRPr="00995B65">
        <w:rPr>
          <w:rFonts w:ascii="Arial" w:hAnsi="Arial"/>
        </w:rPr>
        <w:lastRenderedPageBreak/>
        <w:t xml:space="preserve">use it. The Occupancy Agreement will confirm this. Only costs reasonably incurred as a direct result of providing services are recharged </w:t>
      </w:r>
      <w:r w:rsidR="00F43783" w:rsidRPr="00995B65">
        <w:rPr>
          <w:rFonts w:ascii="Arial" w:hAnsi="Arial"/>
        </w:rPr>
        <w:t>i</w:t>
      </w:r>
      <w:r w:rsidRPr="00995B65">
        <w:rPr>
          <w:rFonts w:ascii="Arial" w:hAnsi="Arial"/>
        </w:rPr>
        <w:t>n the service charge.</w:t>
      </w:r>
      <w:r w:rsidR="002D3122" w:rsidRPr="00995B65">
        <w:rPr>
          <w:rFonts w:ascii="Arial" w:hAnsi="Arial"/>
        </w:rPr>
        <w:t xml:space="preserve"> </w:t>
      </w:r>
    </w:p>
    <w:p w14:paraId="0F59F0A0" w14:textId="46F0AFED" w:rsidR="00DC1354" w:rsidRPr="00995B65" w:rsidRDefault="00A14809" w:rsidP="007877B7">
      <w:pPr>
        <w:jc w:val="both"/>
        <w:rPr>
          <w:rFonts w:ascii="Arial" w:hAnsi="Arial"/>
        </w:rPr>
      </w:pPr>
      <w:r w:rsidRPr="00995B65">
        <w:rPr>
          <w:rFonts w:ascii="Arial" w:hAnsi="Arial"/>
        </w:rPr>
        <w:t xml:space="preserve">Riverside are permitted to charge a management and administration fee </w:t>
      </w:r>
      <w:r w:rsidR="00DC1354" w:rsidRPr="00995B65">
        <w:rPr>
          <w:rFonts w:ascii="Arial" w:hAnsi="Arial"/>
        </w:rPr>
        <w:t>in addition to the service charges</w:t>
      </w:r>
      <w:r w:rsidRPr="00995B65">
        <w:rPr>
          <w:rFonts w:ascii="Arial" w:hAnsi="Arial"/>
        </w:rPr>
        <w:t>.</w:t>
      </w:r>
      <w:r w:rsidR="00DC1354" w:rsidRPr="00995B65">
        <w:rPr>
          <w:rFonts w:ascii="Arial" w:eastAsia="Calibri" w:hAnsi="Arial" w:cs="Arial"/>
        </w:rPr>
        <w:t xml:space="preserve"> </w:t>
      </w:r>
      <w:r w:rsidR="00DC1354" w:rsidRPr="00995B65">
        <w:rPr>
          <w:rFonts w:ascii="Arial" w:hAnsi="Arial"/>
        </w:rPr>
        <w:t xml:space="preserve">Both charges </w:t>
      </w:r>
      <w:r w:rsidR="00BF4440" w:rsidRPr="00995B65">
        <w:rPr>
          <w:rFonts w:ascii="Arial" w:hAnsi="Arial"/>
        </w:rPr>
        <w:t>are</w:t>
      </w:r>
      <w:r w:rsidR="00DC1354" w:rsidRPr="00995B65">
        <w:rPr>
          <w:rFonts w:ascii="Arial" w:hAnsi="Arial"/>
        </w:rPr>
        <w:t xml:space="preserve"> set in line with the service charge regime applied to the customer account.</w:t>
      </w:r>
    </w:p>
    <w:p w14:paraId="62ED23EA" w14:textId="77777777" w:rsidR="007D40E4" w:rsidRPr="00F1781B" w:rsidRDefault="007D40E4" w:rsidP="007D40E4">
      <w:pPr>
        <w:spacing w:after="0" w:line="240" w:lineRule="auto"/>
        <w:rPr>
          <w:rFonts w:ascii="Arial" w:hAnsi="Arial"/>
        </w:rPr>
      </w:pPr>
      <w:r w:rsidRPr="00F1781B">
        <w:rPr>
          <w:rFonts w:ascii="Arial" w:hAnsi="Arial"/>
        </w:rPr>
        <w:t>The policy applies to the following types of Occupancy Agreements:</w:t>
      </w:r>
    </w:p>
    <w:p w14:paraId="3E87A080" w14:textId="77777777" w:rsidR="007D40E4" w:rsidRPr="00F1781B" w:rsidRDefault="007D40E4" w:rsidP="007D40E4">
      <w:pPr>
        <w:spacing w:after="0" w:line="240" w:lineRule="auto"/>
        <w:rPr>
          <w:rFonts w:ascii="Arial" w:hAnsi="Arial"/>
        </w:rPr>
      </w:pPr>
    </w:p>
    <w:p w14:paraId="742515D4" w14:textId="77777777" w:rsidR="007D40E4" w:rsidRPr="00F1781B" w:rsidRDefault="007D40E4" w:rsidP="007D40E4">
      <w:pPr>
        <w:numPr>
          <w:ilvl w:val="0"/>
          <w:numId w:val="6"/>
        </w:numPr>
        <w:spacing w:after="0" w:line="240" w:lineRule="auto"/>
        <w:contextualSpacing/>
        <w:rPr>
          <w:rFonts w:ascii="Arial" w:hAnsi="Arial"/>
        </w:rPr>
      </w:pPr>
      <w:r w:rsidRPr="00F1781B">
        <w:rPr>
          <w:rFonts w:ascii="Arial" w:hAnsi="Arial"/>
        </w:rPr>
        <w:t xml:space="preserve">Assured </w:t>
      </w:r>
      <w:proofErr w:type="gramStart"/>
      <w:r w:rsidRPr="00F1781B">
        <w:rPr>
          <w:rFonts w:ascii="Arial" w:hAnsi="Arial"/>
        </w:rPr>
        <w:t>Tenants;</w:t>
      </w:r>
      <w:proofErr w:type="gramEnd"/>
    </w:p>
    <w:p w14:paraId="4DC36338" w14:textId="77777777" w:rsidR="007D40E4" w:rsidRPr="00F1781B" w:rsidRDefault="007D40E4" w:rsidP="007D40E4">
      <w:pPr>
        <w:numPr>
          <w:ilvl w:val="0"/>
          <w:numId w:val="6"/>
        </w:numPr>
        <w:spacing w:after="0" w:line="240" w:lineRule="auto"/>
        <w:contextualSpacing/>
        <w:rPr>
          <w:rFonts w:ascii="Arial" w:hAnsi="Arial"/>
        </w:rPr>
      </w:pPr>
      <w:r w:rsidRPr="00F1781B">
        <w:rPr>
          <w:rFonts w:ascii="Arial" w:hAnsi="Arial"/>
        </w:rPr>
        <w:t xml:space="preserve">Secure </w:t>
      </w:r>
      <w:proofErr w:type="gramStart"/>
      <w:r w:rsidRPr="00F1781B">
        <w:rPr>
          <w:rFonts w:ascii="Arial" w:hAnsi="Arial"/>
        </w:rPr>
        <w:t>Tenants;</w:t>
      </w:r>
      <w:proofErr w:type="gramEnd"/>
    </w:p>
    <w:p w14:paraId="5BC24943" w14:textId="77777777" w:rsidR="007D40E4" w:rsidRPr="00F1781B" w:rsidRDefault="007D40E4" w:rsidP="007D40E4">
      <w:pPr>
        <w:numPr>
          <w:ilvl w:val="0"/>
          <w:numId w:val="6"/>
        </w:numPr>
        <w:spacing w:after="0" w:line="240" w:lineRule="auto"/>
        <w:contextualSpacing/>
        <w:rPr>
          <w:rFonts w:ascii="Arial" w:hAnsi="Arial"/>
        </w:rPr>
      </w:pPr>
      <w:proofErr w:type="gramStart"/>
      <w:r w:rsidRPr="00F1781B">
        <w:rPr>
          <w:rFonts w:ascii="Arial" w:hAnsi="Arial"/>
        </w:rPr>
        <w:t>Licensees;</w:t>
      </w:r>
      <w:proofErr w:type="gramEnd"/>
    </w:p>
    <w:p w14:paraId="47817B16" w14:textId="77777777" w:rsidR="007D40E4" w:rsidRPr="00F1781B" w:rsidRDefault="007D40E4" w:rsidP="007D40E4">
      <w:pPr>
        <w:numPr>
          <w:ilvl w:val="0"/>
          <w:numId w:val="6"/>
        </w:numPr>
        <w:spacing w:after="0" w:line="240" w:lineRule="auto"/>
        <w:contextualSpacing/>
        <w:rPr>
          <w:rFonts w:ascii="Arial" w:hAnsi="Arial"/>
        </w:rPr>
      </w:pPr>
      <w:r w:rsidRPr="00F1781B">
        <w:rPr>
          <w:rFonts w:ascii="Arial" w:hAnsi="Arial"/>
        </w:rPr>
        <w:t>Leaseholders (including 100% leasehold, right to buy tenants/right to acquire and shared owners</w:t>
      </w:r>
      <w:proofErr w:type="gramStart"/>
      <w:r w:rsidRPr="00F1781B">
        <w:rPr>
          <w:rFonts w:ascii="Arial" w:hAnsi="Arial"/>
        </w:rPr>
        <w:t>);</w:t>
      </w:r>
      <w:proofErr w:type="gramEnd"/>
    </w:p>
    <w:p w14:paraId="4D5BDC79" w14:textId="77777777" w:rsidR="007D40E4" w:rsidRPr="00F1781B" w:rsidRDefault="007D40E4" w:rsidP="007D40E4">
      <w:pPr>
        <w:numPr>
          <w:ilvl w:val="0"/>
          <w:numId w:val="6"/>
        </w:numPr>
        <w:spacing w:after="0" w:line="240" w:lineRule="auto"/>
        <w:contextualSpacing/>
        <w:rPr>
          <w:rFonts w:ascii="Arial" w:hAnsi="Arial"/>
        </w:rPr>
      </w:pPr>
      <w:r w:rsidRPr="00F1781B">
        <w:rPr>
          <w:rFonts w:ascii="Arial" w:hAnsi="Arial"/>
        </w:rPr>
        <w:t xml:space="preserve">Freeholders who receive an estate service, such as grounds </w:t>
      </w:r>
      <w:proofErr w:type="gramStart"/>
      <w:r w:rsidRPr="00F1781B">
        <w:rPr>
          <w:rFonts w:ascii="Arial" w:hAnsi="Arial"/>
        </w:rPr>
        <w:t>maintenance;</w:t>
      </w:r>
      <w:proofErr w:type="gramEnd"/>
    </w:p>
    <w:p w14:paraId="5825F3DC" w14:textId="6FDCB428" w:rsidR="007D40E4" w:rsidRPr="00F1781B" w:rsidRDefault="007D40E4" w:rsidP="007D40E4">
      <w:pPr>
        <w:numPr>
          <w:ilvl w:val="0"/>
          <w:numId w:val="6"/>
        </w:numPr>
        <w:spacing w:after="0" w:line="240" w:lineRule="auto"/>
        <w:contextualSpacing/>
        <w:rPr>
          <w:rFonts w:ascii="Arial" w:hAnsi="Arial"/>
        </w:rPr>
      </w:pPr>
      <w:r w:rsidRPr="00F1781B">
        <w:rPr>
          <w:rFonts w:ascii="Arial" w:hAnsi="Arial"/>
        </w:rPr>
        <w:t>Commercial properties</w:t>
      </w:r>
    </w:p>
    <w:p w14:paraId="01AC7FA0" w14:textId="77777777" w:rsidR="00A51FBC" w:rsidRDefault="00A51FBC" w:rsidP="0061040F">
      <w:pPr>
        <w:rPr>
          <w:rFonts w:ascii="Arial" w:hAnsi="Arial"/>
          <w:u w:val="single"/>
        </w:rPr>
      </w:pPr>
    </w:p>
    <w:p w14:paraId="03C4FEAE" w14:textId="500E04CA" w:rsidR="00BE74C5" w:rsidRDefault="00FE4DA4" w:rsidP="001148FC">
      <w:pPr>
        <w:spacing w:after="0" w:line="240" w:lineRule="auto"/>
        <w:rPr>
          <w:rFonts w:ascii="Arial" w:hAnsi="Arial"/>
        </w:rPr>
      </w:pPr>
      <w:r w:rsidRPr="00F1781B">
        <w:rPr>
          <w:rFonts w:ascii="Arial" w:hAnsi="Arial"/>
        </w:rPr>
        <w:t>The policy is designed to set out high level principles which are relevant across all parts of the group that deal with service charge setting</w:t>
      </w:r>
      <w:r>
        <w:rPr>
          <w:rFonts w:ascii="Arial" w:hAnsi="Arial"/>
        </w:rPr>
        <w:t>, management,</w:t>
      </w:r>
      <w:r w:rsidRPr="00F1781B">
        <w:rPr>
          <w:rFonts w:ascii="Arial" w:hAnsi="Arial"/>
        </w:rPr>
        <w:t xml:space="preserve"> and administration.  A more detailed </w:t>
      </w:r>
      <w:r>
        <w:rPr>
          <w:rFonts w:ascii="Arial" w:hAnsi="Arial"/>
        </w:rPr>
        <w:t xml:space="preserve">Service Charge </w:t>
      </w:r>
      <w:proofErr w:type="gramStart"/>
      <w:r>
        <w:rPr>
          <w:rFonts w:ascii="Arial" w:hAnsi="Arial"/>
        </w:rPr>
        <w:t xml:space="preserve">Framework </w:t>
      </w:r>
      <w:r w:rsidRPr="00F1781B">
        <w:rPr>
          <w:rFonts w:ascii="Arial" w:hAnsi="Arial"/>
        </w:rPr>
        <w:t xml:space="preserve"> setting</w:t>
      </w:r>
      <w:proofErr w:type="gramEnd"/>
      <w:r w:rsidRPr="00F1781B">
        <w:rPr>
          <w:rFonts w:ascii="Arial" w:hAnsi="Arial"/>
        </w:rPr>
        <w:t xml:space="preserve"> out appropriate </w:t>
      </w:r>
      <w:r>
        <w:rPr>
          <w:rFonts w:ascii="Arial" w:hAnsi="Arial"/>
        </w:rPr>
        <w:t xml:space="preserve">service charge setting guidelines </w:t>
      </w:r>
      <w:r w:rsidRPr="00F1781B">
        <w:rPr>
          <w:rFonts w:ascii="Arial" w:hAnsi="Arial"/>
        </w:rPr>
        <w:t xml:space="preserve"> has been developed to support this policy.</w:t>
      </w:r>
    </w:p>
    <w:p w14:paraId="635CA281" w14:textId="77777777" w:rsidR="00BE74C5" w:rsidRDefault="00BE74C5" w:rsidP="001148FC">
      <w:pPr>
        <w:spacing w:after="0" w:line="240" w:lineRule="auto"/>
        <w:rPr>
          <w:rFonts w:ascii="Arial" w:hAnsi="Arial"/>
        </w:rPr>
      </w:pPr>
    </w:p>
    <w:p w14:paraId="4128E330" w14:textId="346D6230" w:rsidR="001148FC" w:rsidRDefault="001148FC" w:rsidP="001148FC">
      <w:pPr>
        <w:spacing w:after="0" w:line="240" w:lineRule="auto"/>
        <w:rPr>
          <w:rFonts w:ascii="Arial" w:hAnsi="Arial"/>
        </w:rPr>
      </w:pPr>
      <w:r w:rsidRPr="00C440CA">
        <w:rPr>
          <w:rFonts w:ascii="Arial" w:hAnsi="Arial"/>
        </w:rPr>
        <w:t>Affordable, intermediate and Market Rent properties are out of scope as the services are included in the</w:t>
      </w:r>
      <w:r>
        <w:rPr>
          <w:rFonts w:ascii="Arial" w:hAnsi="Arial"/>
        </w:rPr>
        <w:t xml:space="preserve"> rent.</w:t>
      </w:r>
    </w:p>
    <w:p w14:paraId="58A0875F" w14:textId="77777777" w:rsidR="001148FC" w:rsidRDefault="001148FC" w:rsidP="001148FC">
      <w:pPr>
        <w:spacing w:after="0" w:line="240" w:lineRule="auto"/>
        <w:rPr>
          <w:rFonts w:ascii="Arial" w:hAnsi="Arial"/>
        </w:rPr>
      </w:pPr>
    </w:p>
    <w:p w14:paraId="217626AC" w14:textId="77777777" w:rsidR="001148FC" w:rsidRPr="00031B61" w:rsidRDefault="001148FC" w:rsidP="001148FC">
      <w:pPr>
        <w:spacing w:after="0" w:line="240" w:lineRule="auto"/>
        <w:rPr>
          <w:rFonts w:ascii="Arial" w:hAnsi="Arial"/>
        </w:rPr>
      </w:pPr>
      <w:r w:rsidRPr="00031B61">
        <w:rPr>
          <w:rFonts w:ascii="Arial" w:hAnsi="Arial"/>
        </w:rPr>
        <w:t xml:space="preserve">Service charges may be variable or fixed. The type of service charge payable is stipulated in the Occupancy Agreement.  </w:t>
      </w:r>
      <w:proofErr w:type="gramStart"/>
      <w:r w:rsidRPr="00031B61">
        <w:rPr>
          <w:rFonts w:ascii="Arial" w:hAnsi="Arial"/>
        </w:rPr>
        <w:t>Both of these</w:t>
      </w:r>
      <w:proofErr w:type="gramEnd"/>
      <w:r w:rsidRPr="00031B61">
        <w:rPr>
          <w:rFonts w:ascii="Arial" w:hAnsi="Arial"/>
        </w:rPr>
        <w:t xml:space="preserve"> service charge regimes are covered by this policy.</w:t>
      </w:r>
      <w:r>
        <w:rPr>
          <w:rFonts w:ascii="Arial" w:hAnsi="Arial"/>
        </w:rPr>
        <w:t xml:space="preserve"> </w:t>
      </w:r>
    </w:p>
    <w:p w14:paraId="6696C67B" w14:textId="77777777" w:rsidR="003D44DD" w:rsidRDefault="003D44DD" w:rsidP="0061040F">
      <w:pPr>
        <w:rPr>
          <w:rFonts w:ascii="Arial" w:hAnsi="Arial"/>
          <w:u w:val="single"/>
        </w:rPr>
      </w:pPr>
    </w:p>
    <w:p w14:paraId="501E5EC5"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3</w:t>
      </w:r>
      <w:r w:rsidRPr="00594E9C">
        <w:rPr>
          <w:rFonts w:ascii="Arial" w:hAnsi="Arial"/>
          <w:i w:val="0"/>
          <w:iCs w:val="0"/>
          <w:color w:val="199DAF"/>
          <w:sz w:val="24"/>
          <w:szCs w:val="22"/>
        </w:rPr>
        <w:t xml:space="preserve">. </w:t>
      </w:r>
      <w:r>
        <w:rPr>
          <w:rFonts w:ascii="Arial" w:hAnsi="Arial"/>
          <w:i w:val="0"/>
          <w:iCs w:val="0"/>
          <w:color w:val="199DAF"/>
          <w:sz w:val="24"/>
          <w:szCs w:val="22"/>
        </w:rPr>
        <w:t>Principles</w:t>
      </w:r>
      <w:r w:rsidRPr="00594E9C">
        <w:rPr>
          <w:rFonts w:ascii="Arial" w:hAnsi="Arial"/>
          <w:i w:val="0"/>
          <w:iCs w:val="0"/>
          <w:color w:val="199DAF"/>
          <w:sz w:val="24"/>
          <w:szCs w:val="22"/>
        </w:rPr>
        <w:t xml:space="preserve"> </w:t>
      </w:r>
    </w:p>
    <w:p w14:paraId="5DB62FE7" w14:textId="77777777" w:rsidR="00721D89" w:rsidRDefault="00721D89" w:rsidP="0061040F">
      <w:pPr>
        <w:jc w:val="both"/>
        <w:rPr>
          <w:rFonts w:ascii="Arial" w:hAnsi="Arial"/>
        </w:rPr>
      </w:pPr>
    </w:p>
    <w:p w14:paraId="17598699" w14:textId="56F364E5" w:rsidR="00064F6A" w:rsidRPr="005F1A32" w:rsidRDefault="00064F6A" w:rsidP="00064F6A">
      <w:pPr>
        <w:rPr>
          <w:rFonts w:ascii="Arial" w:hAnsi="Arial"/>
        </w:rPr>
      </w:pPr>
      <w:bookmarkStart w:id="0" w:name="_Hlk167110743"/>
      <w:r w:rsidRPr="005F1A32">
        <w:rPr>
          <w:rFonts w:ascii="Arial" w:hAnsi="Arial"/>
        </w:rPr>
        <w:t>Riverside aim</w:t>
      </w:r>
      <w:r w:rsidR="001D4D6B">
        <w:rPr>
          <w:rFonts w:ascii="Arial" w:hAnsi="Arial"/>
        </w:rPr>
        <w:t>s</w:t>
      </w:r>
      <w:r w:rsidRPr="005F1A32">
        <w:rPr>
          <w:rFonts w:ascii="Arial" w:hAnsi="Arial"/>
        </w:rPr>
        <w:t xml:space="preserve"> to ensure that service charges are dealt with in accordance with the terms of the contract, for example the lease, licence, tenancy (together referred to in this policy as 'Occupancy Agreements') but are also set taking into consideration legal, regulatory and best practice requirements.</w:t>
      </w:r>
    </w:p>
    <w:bookmarkEnd w:id="0"/>
    <w:p w14:paraId="7BE6FADB" w14:textId="2C7036A1" w:rsidR="00C11731" w:rsidRDefault="00386374" w:rsidP="0061040F">
      <w:pPr>
        <w:jc w:val="both"/>
        <w:rPr>
          <w:rFonts w:ascii="Arial" w:hAnsi="Arial"/>
          <w:u w:val="single"/>
        </w:rPr>
      </w:pPr>
      <w:r w:rsidRPr="005F1A32">
        <w:rPr>
          <w:rFonts w:ascii="Arial" w:hAnsi="Arial"/>
        </w:rPr>
        <w:t xml:space="preserve">If there is a variance between the </w:t>
      </w:r>
      <w:r>
        <w:rPr>
          <w:rFonts w:ascii="Arial" w:hAnsi="Arial"/>
        </w:rPr>
        <w:t>policy and individual Occupancy</w:t>
      </w:r>
      <w:r w:rsidRPr="005F1A32">
        <w:rPr>
          <w:rFonts w:ascii="Arial" w:hAnsi="Arial"/>
        </w:rPr>
        <w:t xml:space="preserve"> Agreements</w:t>
      </w:r>
      <w:r>
        <w:rPr>
          <w:rFonts w:ascii="Arial" w:hAnsi="Arial"/>
        </w:rPr>
        <w:t>, then the Occupancy</w:t>
      </w:r>
      <w:r w:rsidRPr="005F1A32">
        <w:rPr>
          <w:rFonts w:ascii="Arial" w:hAnsi="Arial"/>
        </w:rPr>
        <w:t xml:space="preserve"> Agreements will take precedence</w:t>
      </w:r>
      <w:r>
        <w:rPr>
          <w:rFonts w:ascii="Arial" w:hAnsi="Arial"/>
        </w:rPr>
        <w:t>.</w:t>
      </w:r>
    </w:p>
    <w:p w14:paraId="3366205B" w14:textId="77E2E2E8" w:rsidR="00295294" w:rsidRDefault="00DE111A" w:rsidP="007877B7">
      <w:pPr>
        <w:jc w:val="both"/>
        <w:rPr>
          <w:rFonts w:ascii="Arial" w:hAnsi="Arial"/>
        </w:rPr>
      </w:pPr>
      <w:r w:rsidRPr="00995B65">
        <w:rPr>
          <w:rFonts w:ascii="Arial" w:hAnsi="Arial"/>
        </w:rPr>
        <w:t xml:space="preserve">Mergers, Acquisitions and Stock Transfer agreements </w:t>
      </w:r>
      <w:r w:rsidR="00295294" w:rsidRPr="00995B65">
        <w:rPr>
          <w:rFonts w:ascii="Arial" w:hAnsi="Arial"/>
        </w:rPr>
        <w:t xml:space="preserve">sometimes </w:t>
      </w:r>
      <w:r w:rsidRPr="00995B65">
        <w:rPr>
          <w:rFonts w:ascii="Arial" w:hAnsi="Arial"/>
        </w:rPr>
        <w:t xml:space="preserve">require Riverside to </w:t>
      </w:r>
      <w:r w:rsidR="00295294" w:rsidRPr="00995B65">
        <w:rPr>
          <w:rFonts w:ascii="Arial" w:hAnsi="Arial"/>
        </w:rPr>
        <w:t>cap</w:t>
      </w:r>
      <w:r w:rsidR="000A3F3E" w:rsidRPr="00995B65">
        <w:rPr>
          <w:rFonts w:ascii="Arial" w:hAnsi="Arial"/>
        </w:rPr>
        <w:t xml:space="preserve"> </w:t>
      </w:r>
      <w:r w:rsidR="00295294" w:rsidRPr="00995B65">
        <w:rPr>
          <w:rFonts w:ascii="Arial" w:hAnsi="Arial"/>
        </w:rPr>
        <w:t>service charges</w:t>
      </w:r>
      <w:r w:rsidRPr="00995B65">
        <w:rPr>
          <w:rFonts w:ascii="Arial" w:hAnsi="Arial"/>
        </w:rPr>
        <w:t xml:space="preserve"> for </w:t>
      </w:r>
      <w:proofErr w:type="gramStart"/>
      <w:r w:rsidRPr="00995B65">
        <w:rPr>
          <w:rFonts w:ascii="Arial" w:hAnsi="Arial"/>
        </w:rPr>
        <w:t>a period of time</w:t>
      </w:r>
      <w:proofErr w:type="gramEnd"/>
      <w:r w:rsidR="00A77040" w:rsidRPr="00995B65">
        <w:rPr>
          <w:rFonts w:ascii="Arial" w:hAnsi="Arial"/>
        </w:rPr>
        <w:t>. This</w:t>
      </w:r>
      <w:r w:rsidR="00295294" w:rsidRPr="00995B65">
        <w:rPr>
          <w:rFonts w:ascii="Arial" w:hAnsi="Arial"/>
        </w:rPr>
        <w:t xml:space="preserve"> sets an annual limit or ceiling on the service charges, regardless of the actual amount that Riverside may spend in a service charge year.</w:t>
      </w:r>
      <w:r w:rsidR="00295294" w:rsidRPr="00995B65">
        <w:rPr>
          <w:rFonts w:ascii="Arial" w:hAnsi="Arial" w:cs="Arial"/>
          <w:color w:val="1C1C1C"/>
          <w:shd w:val="clear" w:color="auto" w:fill="FFFFFF"/>
        </w:rPr>
        <w:t xml:space="preserve"> </w:t>
      </w:r>
      <w:r w:rsidR="00A77040" w:rsidRPr="00995B65">
        <w:rPr>
          <w:rFonts w:ascii="Arial" w:hAnsi="Arial" w:cs="Arial"/>
          <w:color w:val="1C1C1C"/>
          <w:shd w:val="clear" w:color="auto" w:fill="FFFFFF"/>
        </w:rPr>
        <w:t xml:space="preserve">During this period Riverside </w:t>
      </w:r>
      <w:r w:rsidR="00E831AD" w:rsidRPr="00995B65">
        <w:rPr>
          <w:rFonts w:ascii="Arial" w:hAnsi="Arial" w:cs="Arial"/>
          <w:color w:val="1C1C1C"/>
          <w:shd w:val="clear" w:color="auto" w:fill="FFFFFF"/>
        </w:rPr>
        <w:t>fully review service charge</w:t>
      </w:r>
      <w:r w:rsidR="00B216A6" w:rsidRPr="00995B65">
        <w:rPr>
          <w:rFonts w:ascii="Arial" w:hAnsi="Arial" w:cs="Arial"/>
          <w:color w:val="1C1C1C"/>
          <w:shd w:val="clear" w:color="auto" w:fill="FFFFFF"/>
        </w:rPr>
        <w:t xml:space="preserve">s across the stock to ensure </w:t>
      </w:r>
      <w:r w:rsidR="000A3F3E" w:rsidRPr="00995B65">
        <w:rPr>
          <w:rFonts w:ascii="Arial" w:hAnsi="Arial" w:cs="Arial"/>
          <w:color w:val="1C1C1C"/>
          <w:shd w:val="clear" w:color="auto" w:fill="FFFFFF"/>
        </w:rPr>
        <w:t xml:space="preserve">the </w:t>
      </w:r>
      <w:r w:rsidR="00295294" w:rsidRPr="00995B65">
        <w:rPr>
          <w:rFonts w:ascii="Arial" w:hAnsi="Arial"/>
        </w:rPr>
        <w:t>correct charging methodology</w:t>
      </w:r>
      <w:r w:rsidR="000A3F3E" w:rsidRPr="00995B65">
        <w:rPr>
          <w:rFonts w:ascii="Arial" w:hAnsi="Arial"/>
        </w:rPr>
        <w:t xml:space="preserve"> is applied.</w:t>
      </w:r>
    </w:p>
    <w:p w14:paraId="384D12BB" w14:textId="77777777" w:rsidR="00957ECC" w:rsidRPr="000D62B8" w:rsidRDefault="00957ECC" w:rsidP="00957ECC">
      <w:pPr>
        <w:pStyle w:val="NoSpacing"/>
        <w:rPr>
          <w:rFonts w:ascii="Arial" w:hAnsi="Arial" w:cs="Arial"/>
          <w:bCs/>
        </w:rPr>
      </w:pPr>
      <w:r w:rsidRPr="000D62B8">
        <w:rPr>
          <w:rFonts w:ascii="Arial" w:hAnsi="Arial" w:cs="Arial"/>
          <w:bCs/>
        </w:rPr>
        <w:t xml:space="preserve">The key objectives of this policy </w:t>
      </w:r>
      <w:commentRangeStart w:id="1"/>
      <w:r w:rsidRPr="000D62B8">
        <w:rPr>
          <w:rFonts w:ascii="Arial" w:hAnsi="Arial" w:cs="Arial"/>
          <w:bCs/>
        </w:rPr>
        <w:t>are</w:t>
      </w:r>
      <w:commentRangeEnd w:id="1"/>
      <w:r>
        <w:rPr>
          <w:rStyle w:val="CommentReference"/>
        </w:rPr>
        <w:commentReference w:id="1"/>
      </w:r>
      <w:r w:rsidRPr="000D62B8">
        <w:rPr>
          <w:rFonts w:ascii="Arial" w:hAnsi="Arial" w:cs="Arial"/>
          <w:bCs/>
        </w:rPr>
        <w:t>:</w:t>
      </w:r>
    </w:p>
    <w:p w14:paraId="7FD46490" w14:textId="5AAF4A61" w:rsidR="00957ECC" w:rsidRPr="000D62B8" w:rsidRDefault="00957ECC" w:rsidP="00957ECC">
      <w:pPr>
        <w:pStyle w:val="ListParagraph"/>
        <w:numPr>
          <w:ilvl w:val="0"/>
          <w:numId w:val="7"/>
        </w:numPr>
        <w:rPr>
          <w:rFonts w:ascii="Arial" w:hAnsi="Arial" w:cs="Arial"/>
        </w:rPr>
      </w:pPr>
      <w:r w:rsidRPr="000D62B8">
        <w:rPr>
          <w:rFonts w:ascii="Arial" w:hAnsi="Arial" w:cs="Arial"/>
          <w:color w:val="1C1C1C"/>
          <w:shd w:val="clear" w:color="auto" w:fill="FFFFFF"/>
        </w:rPr>
        <w:t>To establish clear principles on service charge setting that are understandable to</w:t>
      </w:r>
      <w:r>
        <w:rPr>
          <w:rFonts w:ascii="Arial" w:hAnsi="Arial" w:cs="Arial"/>
          <w:color w:val="1C1C1C"/>
          <w:shd w:val="clear" w:color="auto" w:fill="FFFFFF"/>
        </w:rPr>
        <w:t xml:space="preserve"> </w:t>
      </w:r>
      <w:r w:rsidR="00861820">
        <w:rPr>
          <w:rFonts w:ascii="Arial" w:hAnsi="Arial" w:cs="Arial"/>
          <w:color w:val="1C1C1C"/>
          <w:shd w:val="clear" w:color="auto" w:fill="FFFFFF"/>
        </w:rPr>
        <w:t>tenants, leaseholders</w:t>
      </w:r>
      <w:r>
        <w:rPr>
          <w:rFonts w:ascii="Arial" w:hAnsi="Arial" w:cs="Arial"/>
          <w:color w:val="1C1C1C"/>
          <w:shd w:val="clear" w:color="auto" w:fill="FFFFFF"/>
        </w:rPr>
        <w:t xml:space="preserve"> and colleagues</w:t>
      </w:r>
      <w:r w:rsidRPr="000D62B8">
        <w:rPr>
          <w:rFonts w:ascii="Arial" w:hAnsi="Arial" w:cs="Arial"/>
          <w:color w:val="1C1C1C"/>
          <w:shd w:val="clear" w:color="auto" w:fill="FFFFFF"/>
        </w:rPr>
        <w:t>.</w:t>
      </w:r>
    </w:p>
    <w:p w14:paraId="1222DB8E" w14:textId="77777777" w:rsidR="00957ECC" w:rsidRPr="000D62B8" w:rsidRDefault="00957ECC" w:rsidP="00957ECC">
      <w:pPr>
        <w:pStyle w:val="ListParagraph"/>
        <w:numPr>
          <w:ilvl w:val="0"/>
          <w:numId w:val="7"/>
        </w:numPr>
        <w:rPr>
          <w:rFonts w:ascii="Arial" w:hAnsi="Arial" w:cs="Arial"/>
        </w:rPr>
      </w:pPr>
      <w:r w:rsidRPr="000D62B8">
        <w:rPr>
          <w:rFonts w:ascii="Arial" w:hAnsi="Arial" w:cs="Arial"/>
          <w:color w:val="1C1C1C"/>
          <w:shd w:val="clear" w:color="auto" w:fill="FFFFFF"/>
        </w:rPr>
        <w:lastRenderedPageBreak/>
        <w:t xml:space="preserve">To ensure that service charges are reasonably incurred, and the provision of services and works are of a fair and reasonable standard. </w:t>
      </w:r>
    </w:p>
    <w:p w14:paraId="5E4D9826" w14:textId="77777777" w:rsidR="00957ECC" w:rsidRPr="000D62B8" w:rsidRDefault="00957ECC" w:rsidP="00957ECC">
      <w:pPr>
        <w:pStyle w:val="ListParagraph"/>
        <w:numPr>
          <w:ilvl w:val="0"/>
          <w:numId w:val="7"/>
        </w:numPr>
        <w:rPr>
          <w:rFonts w:ascii="Arial" w:hAnsi="Arial" w:cs="Arial"/>
        </w:rPr>
      </w:pPr>
      <w:r w:rsidRPr="000D62B8">
        <w:rPr>
          <w:rFonts w:ascii="Arial" w:hAnsi="Arial" w:cs="Arial"/>
          <w:color w:val="1C1C1C"/>
          <w:shd w:val="clear" w:color="auto" w:fill="FFFFFF"/>
        </w:rPr>
        <w:t xml:space="preserve">To adopt a uniform, transparent, and consistent approach to the calculation, apportionment, and recovery of service charges, within the constraints of the </w:t>
      </w:r>
      <w:r>
        <w:rPr>
          <w:rFonts w:ascii="Arial" w:hAnsi="Arial" w:cs="Arial"/>
          <w:color w:val="1C1C1C"/>
          <w:shd w:val="clear" w:color="auto" w:fill="FFFFFF"/>
        </w:rPr>
        <w:t>O</w:t>
      </w:r>
      <w:r w:rsidRPr="000D62B8">
        <w:rPr>
          <w:rFonts w:ascii="Arial" w:hAnsi="Arial" w:cs="Arial"/>
          <w:color w:val="1C1C1C"/>
          <w:shd w:val="clear" w:color="auto" w:fill="FFFFFF"/>
        </w:rPr>
        <w:t xml:space="preserve">ccupancy </w:t>
      </w:r>
      <w:r>
        <w:rPr>
          <w:rFonts w:ascii="Arial" w:hAnsi="Arial" w:cs="Arial"/>
          <w:color w:val="1C1C1C"/>
          <w:shd w:val="clear" w:color="auto" w:fill="FFFFFF"/>
        </w:rPr>
        <w:t>A</w:t>
      </w:r>
      <w:r w:rsidRPr="000D62B8">
        <w:rPr>
          <w:rFonts w:ascii="Arial" w:hAnsi="Arial" w:cs="Arial"/>
          <w:color w:val="1C1C1C"/>
          <w:shd w:val="clear" w:color="auto" w:fill="FFFFFF"/>
        </w:rPr>
        <w:t>greements.</w:t>
      </w:r>
    </w:p>
    <w:p w14:paraId="61D2C12B" w14:textId="77777777" w:rsidR="00957ECC" w:rsidRPr="000D62B8" w:rsidRDefault="00957ECC" w:rsidP="00957ECC">
      <w:pPr>
        <w:pStyle w:val="ListParagraph"/>
        <w:numPr>
          <w:ilvl w:val="0"/>
          <w:numId w:val="7"/>
        </w:numPr>
        <w:rPr>
          <w:rFonts w:ascii="Arial" w:hAnsi="Arial" w:cs="Arial"/>
        </w:rPr>
      </w:pPr>
      <w:r w:rsidRPr="000D62B8">
        <w:rPr>
          <w:rFonts w:ascii="Arial" w:hAnsi="Arial" w:cs="Arial"/>
          <w:color w:val="1C1C1C"/>
          <w:shd w:val="clear" w:color="auto" w:fill="FFFFFF"/>
        </w:rPr>
        <w:t xml:space="preserve">To minimize fluctuations in the level of service charges from year to year. </w:t>
      </w:r>
    </w:p>
    <w:p w14:paraId="6D4986E1" w14:textId="77777777" w:rsidR="00957ECC" w:rsidRPr="00191C64" w:rsidRDefault="00957ECC" w:rsidP="00957ECC">
      <w:pPr>
        <w:pStyle w:val="ListParagraph"/>
        <w:numPr>
          <w:ilvl w:val="0"/>
          <w:numId w:val="7"/>
        </w:numPr>
        <w:rPr>
          <w:rFonts w:ascii="Arial" w:hAnsi="Arial" w:cs="Arial"/>
        </w:rPr>
      </w:pPr>
      <w:r w:rsidRPr="000D62B8">
        <w:rPr>
          <w:rFonts w:ascii="Arial" w:hAnsi="Arial" w:cs="Arial"/>
          <w:color w:val="1C1C1C"/>
          <w:shd w:val="clear" w:color="auto" w:fill="FFFFFF"/>
        </w:rPr>
        <w:t>To regularly monitor, manage, and assess the quality, effectiveness, and cost of the services provided.</w:t>
      </w:r>
    </w:p>
    <w:p w14:paraId="38C85409" w14:textId="77777777" w:rsidR="00957ECC" w:rsidRPr="000D62B8" w:rsidRDefault="00957ECC" w:rsidP="00957ECC">
      <w:pPr>
        <w:pStyle w:val="ListParagraph"/>
        <w:rPr>
          <w:rFonts w:ascii="Arial" w:hAnsi="Arial" w:cs="Arial"/>
        </w:rPr>
      </w:pPr>
    </w:p>
    <w:p w14:paraId="784C9F21" w14:textId="77777777" w:rsidR="00957ECC" w:rsidRPr="000D62B8" w:rsidRDefault="00957ECC" w:rsidP="00957ECC">
      <w:pPr>
        <w:rPr>
          <w:rFonts w:ascii="Arial" w:hAnsi="Arial" w:cs="Arial"/>
          <w:bCs/>
        </w:rPr>
      </w:pPr>
      <w:r w:rsidRPr="000D62B8">
        <w:rPr>
          <w:rFonts w:ascii="Arial" w:hAnsi="Arial" w:cs="Arial"/>
          <w:bCs/>
        </w:rPr>
        <w:t>The desired outcomes of the policy are:</w:t>
      </w:r>
    </w:p>
    <w:p w14:paraId="2E81A83B" w14:textId="77777777" w:rsidR="00957ECC" w:rsidRPr="000D62B8" w:rsidRDefault="00957ECC" w:rsidP="00957ECC">
      <w:pPr>
        <w:pStyle w:val="ListParagraph"/>
        <w:numPr>
          <w:ilvl w:val="0"/>
          <w:numId w:val="8"/>
        </w:numPr>
        <w:rPr>
          <w:rFonts w:ascii="Arial" w:hAnsi="Arial" w:cs="Arial"/>
        </w:rPr>
      </w:pPr>
      <w:r w:rsidRPr="000D62B8">
        <w:rPr>
          <w:rFonts w:ascii="Arial" w:hAnsi="Arial" w:cs="Arial"/>
          <w:b/>
        </w:rPr>
        <w:t>Legal and regulatory,</w:t>
      </w:r>
      <w:r w:rsidRPr="000D62B8">
        <w:rPr>
          <w:rFonts w:ascii="Arial" w:hAnsi="Arial" w:cs="Arial"/>
        </w:rPr>
        <w:t xml:space="preserve"> both policy and practice will be within the law and will meet all regulatory requirements.</w:t>
      </w:r>
    </w:p>
    <w:p w14:paraId="3F1FA0FF" w14:textId="77777777" w:rsidR="00957ECC" w:rsidRPr="000D62B8" w:rsidRDefault="00957ECC" w:rsidP="00957ECC">
      <w:pPr>
        <w:pStyle w:val="ListParagraph"/>
        <w:rPr>
          <w:rFonts w:ascii="Arial" w:hAnsi="Arial" w:cs="Arial"/>
        </w:rPr>
      </w:pPr>
    </w:p>
    <w:p w14:paraId="3B702E01" w14:textId="77777777" w:rsidR="00957ECC" w:rsidRPr="000D62B8" w:rsidRDefault="00957ECC" w:rsidP="00957ECC">
      <w:pPr>
        <w:pStyle w:val="ListParagraph"/>
        <w:numPr>
          <w:ilvl w:val="0"/>
          <w:numId w:val="8"/>
        </w:numPr>
        <w:rPr>
          <w:rFonts w:ascii="Arial" w:hAnsi="Arial" w:cs="Arial"/>
        </w:rPr>
      </w:pPr>
      <w:r w:rsidRPr="000D62B8">
        <w:rPr>
          <w:rFonts w:ascii="Arial" w:hAnsi="Arial" w:cs="Arial"/>
          <w:b/>
        </w:rPr>
        <w:t xml:space="preserve">Contractual obligations, </w:t>
      </w:r>
      <w:r w:rsidRPr="000D62B8">
        <w:rPr>
          <w:rFonts w:ascii="Arial" w:hAnsi="Arial" w:cs="Arial"/>
        </w:rPr>
        <w:t>the setting and administration of service charges will be consistent with the provisions of the applicable Occupancy Agreement.</w:t>
      </w:r>
    </w:p>
    <w:p w14:paraId="59A1AE42" w14:textId="77777777" w:rsidR="00957ECC" w:rsidRPr="000D62B8" w:rsidRDefault="00957ECC" w:rsidP="00957ECC">
      <w:pPr>
        <w:pStyle w:val="ListParagraph"/>
        <w:rPr>
          <w:rFonts w:ascii="Arial" w:hAnsi="Arial" w:cs="Arial"/>
        </w:rPr>
      </w:pPr>
    </w:p>
    <w:p w14:paraId="2AA70846" w14:textId="44DAA030" w:rsidR="00957ECC" w:rsidRPr="000D62B8" w:rsidRDefault="00957ECC" w:rsidP="00957ECC">
      <w:pPr>
        <w:numPr>
          <w:ilvl w:val="0"/>
          <w:numId w:val="9"/>
        </w:numPr>
        <w:spacing w:after="0" w:line="240" w:lineRule="auto"/>
        <w:rPr>
          <w:rFonts w:ascii="Arial" w:eastAsia="Times New Roman" w:hAnsi="Arial" w:cs="Arial"/>
          <w:color w:val="0E101A"/>
          <w:lang w:eastAsia="en-GB"/>
        </w:rPr>
      </w:pPr>
      <w:r w:rsidRPr="000D62B8">
        <w:rPr>
          <w:rFonts w:ascii="Arial" w:hAnsi="Arial" w:cs="Arial"/>
          <w:b/>
        </w:rPr>
        <w:t xml:space="preserve">Value for money, </w:t>
      </w:r>
      <w:r w:rsidRPr="000D62B8">
        <w:rPr>
          <w:rFonts w:ascii="Arial" w:hAnsi="Arial" w:cs="Arial"/>
          <w:bCs/>
        </w:rPr>
        <w:t>t</w:t>
      </w:r>
      <w:r w:rsidRPr="000D62B8">
        <w:rPr>
          <w:rFonts w:ascii="Arial" w:eastAsia="Times New Roman" w:hAnsi="Arial" w:cs="Arial"/>
          <w:bCs/>
          <w:color w:val="0E101A"/>
          <w:lang w:eastAsia="en-GB"/>
        </w:rPr>
        <w:t>o ensure</w:t>
      </w:r>
      <w:r w:rsidRPr="000D62B8">
        <w:rPr>
          <w:rFonts w:ascii="Arial" w:eastAsia="Times New Roman" w:hAnsi="Arial" w:cs="Arial"/>
          <w:color w:val="0E101A"/>
          <w:lang w:eastAsia="en-GB"/>
        </w:rPr>
        <w:t xml:space="preserve"> that the costs incurred which are recovered through the service charges are fair</w:t>
      </w:r>
      <w:r w:rsidR="00BC4625">
        <w:rPr>
          <w:rFonts w:ascii="Arial" w:eastAsia="Times New Roman" w:hAnsi="Arial" w:cs="Arial"/>
          <w:color w:val="0E101A"/>
          <w:lang w:eastAsia="en-GB"/>
        </w:rPr>
        <w:t>,</w:t>
      </w:r>
      <w:r w:rsidRPr="000D62B8">
        <w:rPr>
          <w:rFonts w:ascii="Arial" w:eastAsia="Times New Roman" w:hAnsi="Arial" w:cs="Arial"/>
          <w:color w:val="0E101A"/>
          <w:lang w:eastAsia="en-GB"/>
        </w:rPr>
        <w:t xml:space="preserve"> reasonable</w:t>
      </w:r>
      <w:r w:rsidR="00BC4625">
        <w:rPr>
          <w:rFonts w:ascii="Arial" w:eastAsia="Times New Roman" w:hAnsi="Arial" w:cs="Arial"/>
          <w:color w:val="0E101A"/>
          <w:lang w:eastAsia="en-GB"/>
        </w:rPr>
        <w:t>, accurate</w:t>
      </w:r>
      <w:r w:rsidRPr="000D62B8">
        <w:rPr>
          <w:rFonts w:ascii="Arial" w:eastAsia="Times New Roman" w:hAnsi="Arial" w:cs="Arial"/>
          <w:color w:val="0E101A"/>
          <w:lang w:eastAsia="en-GB"/>
        </w:rPr>
        <w:t xml:space="preserve"> and provide value for money. </w:t>
      </w:r>
      <w:r w:rsidR="002E553D" w:rsidRPr="002E553D">
        <w:rPr>
          <w:rFonts w:ascii="Arial" w:eastAsia="Times New Roman" w:hAnsi="Arial" w:cs="Arial"/>
          <w:color w:val="0E101A"/>
          <w:lang w:eastAsia="en-GB"/>
        </w:rPr>
        <w:t xml:space="preserve">We will always seek to achieve value for money when procuring services. </w:t>
      </w:r>
      <w:r w:rsidRPr="000D62B8">
        <w:rPr>
          <w:rFonts w:ascii="Arial" w:eastAsia="Times New Roman" w:hAnsi="Arial" w:cs="Arial"/>
          <w:color w:val="0E101A"/>
          <w:lang w:eastAsia="en-GB"/>
        </w:rPr>
        <w:t>Riverside will seek opportunities to benchmark to ensure that its service charges are comparable with other properties and schemes of a similar size and nature.</w:t>
      </w:r>
    </w:p>
    <w:p w14:paraId="64F5274A" w14:textId="77777777" w:rsidR="00957ECC" w:rsidRPr="000D62B8" w:rsidRDefault="00957ECC" w:rsidP="00957ECC">
      <w:pPr>
        <w:spacing w:after="0" w:line="240" w:lineRule="auto"/>
        <w:ind w:left="720"/>
        <w:rPr>
          <w:rFonts w:ascii="Arial" w:eastAsia="Times New Roman" w:hAnsi="Arial" w:cs="Arial"/>
          <w:color w:val="0E101A"/>
          <w:lang w:eastAsia="en-GB"/>
        </w:rPr>
      </w:pPr>
    </w:p>
    <w:p w14:paraId="2BF13520" w14:textId="12401879" w:rsidR="00957ECC" w:rsidRPr="000D62B8" w:rsidRDefault="00957ECC" w:rsidP="00957ECC">
      <w:pPr>
        <w:numPr>
          <w:ilvl w:val="0"/>
          <w:numId w:val="10"/>
        </w:numPr>
        <w:spacing w:after="0" w:line="240" w:lineRule="auto"/>
        <w:rPr>
          <w:rFonts w:ascii="Arial" w:eastAsia="Times New Roman" w:hAnsi="Arial" w:cs="Arial"/>
          <w:color w:val="0E101A"/>
          <w:lang w:eastAsia="en-GB"/>
        </w:rPr>
      </w:pPr>
      <w:r w:rsidRPr="000D62B8">
        <w:rPr>
          <w:rFonts w:ascii="Arial" w:hAnsi="Arial" w:cs="Arial"/>
          <w:b/>
        </w:rPr>
        <w:t xml:space="preserve">Consultation, </w:t>
      </w:r>
      <w:r w:rsidRPr="000D62B8">
        <w:rPr>
          <w:rFonts w:ascii="Arial" w:eastAsia="Times New Roman" w:hAnsi="Arial" w:cs="Arial"/>
          <w:color w:val="0E101A"/>
          <w:lang w:eastAsia="en-GB"/>
        </w:rPr>
        <w:t>Riverside</w:t>
      </w:r>
      <w:r w:rsidRPr="000D62B8">
        <w:rPr>
          <w:rFonts w:ascii="Arial" w:eastAsia="Times New Roman" w:hAnsi="Arial" w:cs="Arial"/>
          <w:b/>
          <w:bCs/>
          <w:color w:val="0E101A"/>
          <w:lang w:eastAsia="en-GB"/>
        </w:rPr>
        <w:t> </w:t>
      </w:r>
      <w:r w:rsidRPr="000D62B8">
        <w:rPr>
          <w:rFonts w:ascii="Arial" w:eastAsia="Times New Roman" w:hAnsi="Arial" w:cs="Arial"/>
          <w:color w:val="0E101A"/>
          <w:lang w:eastAsia="en-GB"/>
        </w:rPr>
        <w:t xml:space="preserve">will be transparent in its dealing with service charges. Within the constraints of the Occupancy Agreement and any relevant legislation, we will seek to consult with </w:t>
      </w:r>
      <w:r w:rsidR="008F7A6D">
        <w:rPr>
          <w:rFonts w:ascii="Arial" w:eastAsia="Times New Roman" w:hAnsi="Arial" w:cs="Arial"/>
          <w:color w:val="0E101A"/>
          <w:lang w:eastAsia="en-GB"/>
        </w:rPr>
        <w:t>customers</w:t>
      </w:r>
      <w:r w:rsidRPr="000D62B8">
        <w:rPr>
          <w:rFonts w:ascii="Arial" w:eastAsia="Times New Roman" w:hAnsi="Arial" w:cs="Arial"/>
          <w:color w:val="0E101A"/>
          <w:lang w:eastAsia="en-GB"/>
        </w:rPr>
        <w:t xml:space="preserve"> in decisions made about the services provided, the way in which they are provided, and the standards that should be met. </w:t>
      </w:r>
    </w:p>
    <w:p w14:paraId="5F8FCE09" w14:textId="77777777" w:rsidR="00957ECC" w:rsidRPr="000D62B8" w:rsidRDefault="00957ECC" w:rsidP="00957ECC">
      <w:pPr>
        <w:pStyle w:val="ListParagraph"/>
        <w:rPr>
          <w:rFonts w:ascii="Arial" w:hAnsi="Arial" w:cs="Arial"/>
          <w:b/>
          <w:u w:val="single"/>
        </w:rPr>
      </w:pPr>
    </w:p>
    <w:p w14:paraId="2AE01F10" w14:textId="1CE6DFF2" w:rsidR="00957ECC" w:rsidRPr="008A73C0" w:rsidRDefault="00957ECC" w:rsidP="00957ECC">
      <w:pPr>
        <w:numPr>
          <w:ilvl w:val="0"/>
          <w:numId w:val="11"/>
        </w:numPr>
        <w:spacing w:after="0" w:line="240" w:lineRule="auto"/>
        <w:rPr>
          <w:rFonts w:ascii="Arial" w:hAnsi="Arial" w:cs="Arial"/>
          <w:b/>
          <w:u w:val="single"/>
        </w:rPr>
      </w:pPr>
      <w:r w:rsidRPr="008A73C0">
        <w:rPr>
          <w:rFonts w:ascii="Arial" w:hAnsi="Arial" w:cs="Arial"/>
          <w:b/>
        </w:rPr>
        <w:t xml:space="preserve">Controls, </w:t>
      </w:r>
      <w:r w:rsidRPr="008A73C0">
        <w:rPr>
          <w:rFonts w:ascii="Arial" w:eastAsia="Times New Roman" w:hAnsi="Arial" w:cs="Arial"/>
          <w:color w:val="0E101A"/>
          <w:lang w:eastAsia="en-GB"/>
        </w:rPr>
        <w:t>Riverside has sufficient controls in place to ensure costs are fair</w:t>
      </w:r>
      <w:r w:rsidR="00C659CB">
        <w:rPr>
          <w:rFonts w:ascii="Arial" w:eastAsia="Times New Roman" w:hAnsi="Arial" w:cs="Arial"/>
          <w:color w:val="0E101A"/>
          <w:lang w:eastAsia="en-GB"/>
        </w:rPr>
        <w:t>, accurate</w:t>
      </w:r>
      <w:r w:rsidRPr="008A73C0">
        <w:rPr>
          <w:rFonts w:ascii="Arial" w:eastAsia="Times New Roman" w:hAnsi="Arial" w:cs="Arial"/>
          <w:color w:val="0E101A"/>
          <w:lang w:eastAsia="en-GB"/>
        </w:rPr>
        <w:t xml:space="preserve"> and reasonable. </w:t>
      </w:r>
    </w:p>
    <w:p w14:paraId="731482F3" w14:textId="77777777" w:rsidR="00957ECC" w:rsidRPr="008A73C0" w:rsidRDefault="00957ECC" w:rsidP="00957ECC">
      <w:pPr>
        <w:spacing w:after="0" w:line="240" w:lineRule="auto"/>
        <w:ind w:left="720"/>
        <w:rPr>
          <w:rFonts w:ascii="Arial" w:hAnsi="Arial" w:cs="Arial"/>
          <w:b/>
          <w:u w:val="single"/>
        </w:rPr>
      </w:pPr>
    </w:p>
    <w:p w14:paraId="74F091D2" w14:textId="77777777" w:rsidR="00957ECC" w:rsidRPr="000D62B8" w:rsidRDefault="00957ECC" w:rsidP="00957ECC">
      <w:pPr>
        <w:numPr>
          <w:ilvl w:val="0"/>
          <w:numId w:val="12"/>
        </w:numPr>
        <w:spacing w:after="0" w:line="240" w:lineRule="auto"/>
        <w:rPr>
          <w:rFonts w:ascii="Arial" w:eastAsia="Times New Roman" w:hAnsi="Arial" w:cs="Arial"/>
          <w:color w:val="0E101A"/>
          <w:lang w:eastAsia="en-GB"/>
        </w:rPr>
      </w:pPr>
      <w:r w:rsidRPr="000D62B8">
        <w:rPr>
          <w:rFonts w:ascii="Arial" w:hAnsi="Arial" w:cs="Arial"/>
          <w:b/>
        </w:rPr>
        <w:t>Consistency,</w:t>
      </w:r>
      <w:r w:rsidRPr="000D62B8">
        <w:rPr>
          <w:rFonts w:ascii="Arial" w:hAnsi="Arial" w:cs="Arial"/>
        </w:rPr>
        <w:t xml:space="preserve"> </w:t>
      </w:r>
      <w:r w:rsidRPr="000D62B8">
        <w:rPr>
          <w:rFonts w:ascii="Arial" w:eastAsia="Times New Roman" w:hAnsi="Arial" w:cs="Arial"/>
          <w:color w:val="0E101A"/>
          <w:lang w:eastAsia="en-GB"/>
        </w:rPr>
        <w:t>service charge setting, and administration shall be consistent whilst. </w:t>
      </w:r>
    </w:p>
    <w:p w14:paraId="4C1714B5" w14:textId="77777777" w:rsidR="00957ECC" w:rsidRPr="000D62B8" w:rsidRDefault="00957ECC" w:rsidP="00957ECC">
      <w:pPr>
        <w:spacing w:after="0" w:line="240" w:lineRule="auto"/>
        <w:ind w:left="720"/>
        <w:rPr>
          <w:rFonts w:ascii="Arial" w:eastAsia="Times New Roman" w:hAnsi="Arial" w:cs="Arial"/>
          <w:color w:val="0E101A"/>
          <w:lang w:eastAsia="en-GB"/>
        </w:rPr>
      </w:pPr>
      <w:r w:rsidRPr="00D008A2">
        <w:rPr>
          <w:rFonts w:ascii="Arial" w:eastAsia="Times New Roman" w:hAnsi="Arial" w:cs="Arial"/>
          <w:color w:val="0E101A"/>
          <w:lang w:eastAsia="en-GB"/>
        </w:rPr>
        <w:t>retaining the capacity to reflect contractual obligations under specific Occupancy Agreements, any legal and regulatory differences relating to the various types of service charges, and any variations in Riverside's stock and tenure type.</w:t>
      </w:r>
    </w:p>
    <w:p w14:paraId="2C82417E" w14:textId="77777777" w:rsidR="00957ECC" w:rsidRPr="000D62B8" w:rsidRDefault="00957ECC" w:rsidP="00957ECC">
      <w:pPr>
        <w:spacing w:after="0" w:line="240" w:lineRule="auto"/>
        <w:rPr>
          <w:rFonts w:ascii="Arial" w:eastAsia="Times New Roman" w:hAnsi="Arial" w:cs="Arial"/>
          <w:color w:val="0E101A"/>
          <w:lang w:eastAsia="en-GB"/>
        </w:rPr>
      </w:pPr>
    </w:p>
    <w:p w14:paraId="1C173B2B" w14:textId="16EFE918" w:rsidR="00957ECC" w:rsidRPr="000D62B8" w:rsidRDefault="00957ECC" w:rsidP="00957ECC">
      <w:pPr>
        <w:pStyle w:val="ListParagraph"/>
        <w:numPr>
          <w:ilvl w:val="0"/>
          <w:numId w:val="8"/>
        </w:numPr>
        <w:rPr>
          <w:rFonts w:ascii="Arial" w:eastAsia="Times New Roman" w:hAnsi="Arial" w:cs="Arial"/>
          <w:color w:val="0E101A"/>
          <w:lang w:eastAsia="en-GB"/>
        </w:rPr>
      </w:pPr>
      <w:r w:rsidRPr="000D62B8">
        <w:rPr>
          <w:rFonts w:ascii="Arial" w:hAnsi="Arial" w:cs="Arial"/>
          <w:b/>
        </w:rPr>
        <w:t>Training</w:t>
      </w:r>
      <w:r w:rsidRPr="000D62B8">
        <w:rPr>
          <w:rFonts w:ascii="Arial" w:hAnsi="Arial" w:cs="Arial"/>
        </w:rPr>
        <w:t xml:space="preserve">, </w:t>
      </w:r>
      <w:r w:rsidRPr="000D62B8">
        <w:rPr>
          <w:rFonts w:ascii="Arial" w:hAnsi="Arial" w:cs="Arial"/>
          <w:color w:val="0E101A"/>
        </w:rPr>
        <w:t xml:space="preserve">Riverside is committed to training and developing staff and board members, so all have a good knowledge of the policy, procedures, and systems in place, meeting the expectations of </w:t>
      </w:r>
      <w:r w:rsidR="005F4D1F">
        <w:rPr>
          <w:rFonts w:ascii="Arial" w:hAnsi="Arial" w:cs="Arial"/>
          <w:color w:val="0E101A"/>
        </w:rPr>
        <w:t>customers</w:t>
      </w:r>
      <w:r w:rsidRPr="000D62B8">
        <w:rPr>
          <w:rFonts w:ascii="Arial" w:hAnsi="Arial" w:cs="Arial"/>
          <w:color w:val="0E101A"/>
        </w:rPr>
        <w:t xml:space="preserve"> and</w:t>
      </w:r>
      <w:r w:rsidR="005B747B">
        <w:rPr>
          <w:rFonts w:ascii="Arial" w:hAnsi="Arial" w:cs="Arial"/>
          <w:color w:val="0E101A"/>
        </w:rPr>
        <w:t xml:space="preserve"> </w:t>
      </w:r>
      <w:r w:rsidRPr="000D62B8">
        <w:rPr>
          <w:rFonts w:ascii="Arial" w:hAnsi="Arial" w:cs="Arial"/>
          <w:color w:val="0E101A"/>
        </w:rPr>
        <w:t xml:space="preserve">stakeholders.  </w:t>
      </w:r>
      <w:r w:rsidRPr="000D62B8">
        <w:rPr>
          <w:rFonts w:ascii="Arial" w:eastAsia="Times New Roman" w:hAnsi="Arial" w:cs="Arial"/>
          <w:color w:val="0E101A"/>
          <w:lang w:eastAsia="en-GB"/>
        </w:rPr>
        <w:t xml:space="preserve">Accordingly, any </w:t>
      </w:r>
      <w:r w:rsidR="005F78B3">
        <w:rPr>
          <w:rFonts w:ascii="Arial" w:eastAsia="Times New Roman" w:hAnsi="Arial" w:cs="Arial"/>
          <w:color w:val="0E101A"/>
          <w:lang w:eastAsia="en-GB"/>
        </w:rPr>
        <w:t>colleague</w:t>
      </w:r>
      <w:r w:rsidRPr="000D62B8">
        <w:rPr>
          <w:rFonts w:ascii="Arial" w:eastAsia="Times New Roman" w:hAnsi="Arial" w:cs="Arial"/>
          <w:color w:val="0E101A"/>
          <w:lang w:eastAsia="en-GB"/>
        </w:rPr>
        <w:t xml:space="preserve"> involved in the delivery of this policy will be provided with appropriate training and guidance to ensure its aims and objectives are met.</w:t>
      </w:r>
    </w:p>
    <w:p w14:paraId="4245A388" w14:textId="77777777" w:rsidR="00957ECC" w:rsidRPr="000D62B8" w:rsidRDefault="00957ECC" w:rsidP="00957ECC">
      <w:pPr>
        <w:pStyle w:val="ListParagraph"/>
        <w:rPr>
          <w:rFonts w:ascii="Arial" w:hAnsi="Arial" w:cs="Arial"/>
          <w:b/>
          <w:u w:val="single"/>
        </w:rPr>
      </w:pPr>
    </w:p>
    <w:p w14:paraId="049F7A1E" w14:textId="77777777" w:rsidR="00957ECC" w:rsidRDefault="00957ECC" w:rsidP="00957ECC">
      <w:pPr>
        <w:numPr>
          <w:ilvl w:val="0"/>
          <w:numId w:val="13"/>
        </w:numPr>
        <w:spacing w:after="0" w:line="240" w:lineRule="auto"/>
        <w:rPr>
          <w:rFonts w:ascii="Arial" w:eastAsia="Times New Roman" w:hAnsi="Arial" w:cs="Arial"/>
          <w:color w:val="0E101A"/>
          <w:lang w:eastAsia="en-GB"/>
        </w:rPr>
      </w:pPr>
      <w:r w:rsidRPr="000D62B8">
        <w:rPr>
          <w:rFonts w:ascii="Arial" w:hAnsi="Arial" w:cs="Arial"/>
          <w:b/>
        </w:rPr>
        <w:t xml:space="preserve">Equality and diversity, </w:t>
      </w:r>
      <w:r w:rsidRPr="000D62B8">
        <w:rPr>
          <w:rFonts w:ascii="Arial" w:eastAsia="Times New Roman" w:hAnsi="Arial" w:cs="Arial"/>
          <w:color w:val="0E101A"/>
          <w:lang w:eastAsia="en-GB"/>
        </w:rPr>
        <w:t>all involved in the implementation and monitoring of this policy will recognise their ethical and legal duty to advance equality of opportunity and prevent discrimination on the grounds of age, gender, sexual orientation, disability, race, ethnicity, religion, or belief, gender reassignment, pregnancy and maternity, marriage and civil partnership as provided for in the Equality Act 2010.</w:t>
      </w:r>
    </w:p>
    <w:p w14:paraId="2A2486F3" w14:textId="77777777" w:rsidR="00C93761" w:rsidRPr="000D62B8" w:rsidRDefault="00C93761" w:rsidP="00C93761">
      <w:pPr>
        <w:spacing w:after="0" w:line="240" w:lineRule="auto"/>
        <w:ind w:left="720"/>
        <w:rPr>
          <w:rFonts w:ascii="Arial" w:eastAsia="Times New Roman" w:hAnsi="Arial" w:cs="Arial"/>
          <w:color w:val="0E101A"/>
          <w:lang w:eastAsia="en-GB"/>
        </w:rPr>
      </w:pPr>
    </w:p>
    <w:p w14:paraId="0D13DEDC" w14:textId="77777777" w:rsidR="00E47F74" w:rsidRPr="00853BEB" w:rsidRDefault="00E47F74" w:rsidP="00853BEB">
      <w:pPr>
        <w:rPr>
          <w:rFonts w:ascii="Arial" w:hAnsi="Arial"/>
          <w:i/>
        </w:rPr>
      </w:pPr>
    </w:p>
    <w:p w14:paraId="73A09F2E"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lastRenderedPageBreak/>
        <w:t>4</w:t>
      </w:r>
      <w:r w:rsidRPr="00594E9C">
        <w:rPr>
          <w:rFonts w:ascii="Arial" w:hAnsi="Arial"/>
          <w:i w:val="0"/>
          <w:iCs w:val="0"/>
          <w:color w:val="199DAF"/>
          <w:sz w:val="24"/>
          <w:szCs w:val="22"/>
        </w:rPr>
        <w:t xml:space="preserve">. </w:t>
      </w:r>
      <w:r>
        <w:rPr>
          <w:rFonts w:ascii="Arial" w:hAnsi="Arial"/>
          <w:i w:val="0"/>
          <w:iCs w:val="0"/>
          <w:color w:val="199DAF"/>
          <w:sz w:val="24"/>
          <w:szCs w:val="22"/>
        </w:rPr>
        <w:t>Further Information</w:t>
      </w:r>
      <w:r w:rsidRPr="00594E9C">
        <w:rPr>
          <w:rFonts w:ascii="Arial" w:hAnsi="Arial"/>
          <w:i w:val="0"/>
          <w:iCs w:val="0"/>
          <w:color w:val="199DAF"/>
          <w:sz w:val="24"/>
          <w:szCs w:val="22"/>
        </w:rPr>
        <w:t xml:space="preserve"> </w:t>
      </w:r>
      <w:r w:rsidR="00713BDB">
        <w:rPr>
          <w:rFonts w:ascii="Arial" w:hAnsi="Arial"/>
          <w:i w:val="0"/>
          <w:iCs w:val="0"/>
          <w:color w:val="199DAF"/>
          <w:sz w:val="24"/>
          <w:szCs w:val="22"/>
        </w:rPr>
        <w:t>&amp; Support</w:t>
      </w:r>
    </w:p>
    <w:p w14:paraId="6709F1BB" w14:textId="77777777" w:rsidR="00853BEB" w:rsidRDefault="00853BEB" w:rsidP="0061040F">
      <w:pPr>
        <w:rPr>
          <w:rFonts w:ascii="Arial" w:hAnsi="Arial"/>
        </w:rPr>
      </w:pPr>
    </w:p>
    <w:p w14:paraId="613543F5" w14:textId="252D8802" w:rsidR="009B4B30" w:rsidRDefault="009B4B30" w:rsidP="009B4B30">
      <w:pPr>
        <w:pStyle w:val="ListParagraph"/>
        <w:numPr>
          <w:ilvl w:val="0"/>
          <w:numId w:val="14"/>
        </w:numPr>
        <w:rPr>
          <w:rFonts w:ascii="Arial" w:hAnsi="Arial"/>
        </w:rPr>
      </w:pPr>
      <w:r>
        <w:rPr>
          <w:rFonts w:ascii="Arial" w:hAnsi="Arial"/>
        </w:rPr>
        <w:t>Rent Setting Policy</w:t>
      </w:r>
    </w:p>
    <w:p w14:paraId="7D39B2A6" w14:textId="5802C03D" w:rsidR="00EF440C" w:rsidRDefault="00EF440C" w:rsidP="009B4B30">
      <w:pPr>
        <w:pStyle w:val="ListParagraph"/>
        <w:numPr>
          <w:ilvl w:val="0"/>
          <w:numId w:val="14"/>
        </w:numPr>
        <w:rPr>
          <w:rFonts w:ascii="Arial" w:hAnsi="Arial"/>
        </w:rPr>
      </w:pPr>
      <w:r>
        <w:rPr>
          <w:rFonts w:ascii="Arial" w:hAnsi="Arial"/>
        </w:rPr>
        <w:t>Procurement Policy</w:t>
      </w:r>
    </w:p>
    <w:p w14:paraId="111C9C5F" w14:textId="6CDDCE2C" w:rsidR="00EF440C" w:rsidRDefault="00F720E0" w:rsidP="009B4B30">
      <w:pPr>
        <w:pStyle w:val="ListParagraph"/>
        <w:numPr>
          <w:ilvl w:val="0"/>
          <w:numId w:val="14"/>
        </w:numPr>
        <w:rPr>
          <w:rFonts w:ascii="Arial" w:hAnsi="Arial"/>
        </w:rPr>
      </w:pPr>
      <w:r>
        <w:rPr>
          <w:rFonts w:ascii="Arial" w:hAnsi="Arial"/>
        </w:rPr>
        <w:t>Approval and Control of Contractors Policy</w:t>
      </w:r>
    </w:p>
    <w:p w14:paraId="7C91B682" w14:textId="5F840CDF" w:rsidR="00217112" w:rsidRDefault="00217112" w:rsidP="009B4B30">
      <w:pPr>
        <w:pStyle w:val="ListParagraph"/>
        <w:numPr>
          <w:ilvl w:val="0"/>
          <w:numId w:val="14"/>
        </w:numPr>
        <w:rPr>
          <w:rFonts w:ascii="Arial" w:hAnsi="Arial"/>
        </w:rPr>
      </w:pPr>
      <w:r>
        <w:rPr>
          <w:rFonts w:ascii="Arial" w:hAnsi="Arial"/>
        </w:rPr>
        <w:t>Income</w:t>
      </w:r>
      <w:r w:rsidR="0086553C">
        <w:rPr>
          <w:rFonts w:ascii="Arial" w:hAnsi="Arial"/>
        </w:rPr>
        <w:t xml:space="preserve"> Management</w:t>
      </w:r>
      <w:r>
        <w:rPr>
          <w:rFonts w:ascii="Arial" w:hAnsi="Arial"/>
        </w:rPr>
        <w:t xml:space="preserve"> Policy</w:t>
      </w:r>
    </w:p>
    <w:p w14:paraId="267ACF4B" w14:textId="1D4AD8A1" w:rsidR="00C52FE8" w:rsidRPr="00261A40" w:rsidRDefault="005C6A07" w:rsidP="009B4B30">
      <w:pPr>
        <w:pStyle w:val="ListParagraph"/>
        <w:numPr>
          <w:ilvl w:val="0"/>
          <w:numId w:val="14"/>
        </w:numPr>
        <w:rPr>
          <w:rFonts w:ascii="Arial" w:hAnsi="Arial"/>
        </w:rPr>
      </w:pPr>
      <w:r w:rsidRPr="00261A40">
        <w:rPr>
          <w:rFonts w:ascii="Arial" w:hAnsi="Arial"/>
        </w:rPr>
        <w:t>Complaints Policy</w:t>
      </w:r>
    </w:p>
    <w:p w14:paraId="1D3D447F" w14:textId="79A93EF0" w:rsidR="005C6A07" w:rsidRPr="00261A40" w:rsidRDefault="00261A40" w:rsidP="009B4B30">
      <w:pPr>
        <w:pStyle w:val="ListParagraph"/>
        <w:numPr>
          <w:ilvl w:val="0"/>
          <w:numId w:val="14"/>
        </w:numPr>
        <w:rPr>
          <w:rFonts w:ascii="Arial" w:hAnsi="Arial"/>
        </w:rPr>
      </w:pPr>
      <w:r w:rsidRPr="00261A40">
        <w:rPr>
          <w:rFonts w:ascii="Arial" w:hAnsi="Arial"/>
        </w:rPr>
        <w:t xml:space="preserve">Equality, </w:t>
      </w:r>
      <w:r w:rsidR="005C6A07" w:rsidRPr="00261A40">
        <w:rPr>
          <w:rFonts w:ascii="Arial" w:hAnsi="Arial"/>
        </w:rPr>
        <w:t>Diversity and Inclu</w:t>
      </w:r>
      <w:r w:rsidR="00C52E63" w:rsidRPr="00261A40">
        <w:rPr>
          <w:rFonts w:ascii="Arial" w:hAnsi="Arial"/>
        </w:rPr>
        <w:t>sion Policy</w:t>
      </w:r>
    </w:p>
    <w:p w14:paraId="27F3A89F" w14:textId="77777777" w:rsidR="009B4B30" w:rsidRDefault="009B4B30" w:rsidP="0061040F">
      <w:pPr>
        <w:rPr>
          <w:rFonts w:ascii="Arial" w:hAnsi="Arial"/>
          <w:u w:val="single"/>
        </w:rPr>
      </w:pPr>
    </w:p>
    <w:p w14:paraId="4F4B6432" w14:textId="77777777" w:rsidR="0061040F" w:rsidRPr="00594E9C" w:rsidRDefault="0061040F" w:rsidP="0061040F">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5</w:t>
      </w:r>
      <w:r w:rsidRPr="00594E9C">
        <w:rPr>
          <w:rFonts w:ascii="Arial" w:hAnsi="Arial"/>
          <w:i w:val="0"/>
          <w:iCs w:val="0"/>
          <w:color w:val="199DAF"/>
          <w:sz w:val="24"/>
          <w:szCs w:val="22"/>
        </w:rPr>
        <w:t xml:space="preserve">. </w:t>
      </w:r>
      <w:r>
        <w:rPr>
          <w:rFonts w:ascii="Arial" w:hAnsi="Arial"/>
          <w:i w:val="0"/>
          <w:iCs w:val="0"/>
          <w:color w:val="199DAF"/>
          <w:sz w:val="24"/>
          <w:szCs w:val="22"/>
        </w:rPr>
        <w:t>Roles and Responsibilities</w:t>
      </w:r>
      <w:r w:rsidRPr="00594E9C">
        <w:rPr>
          <w:rFonts w:ascii="Arial" w:hAnsi="Arial"/>
          <w:i w:val="0"/>
          <w:iCs w:val="0"/>
          <w:color w:val="199DAF"/>
          <w:sz w:val="24"/>
          <w:szCs w:val="22"/>
        </w:rPr>
        <w:t xml:space="preserve"> </w:t>
      </w:r>
    </w:p>
    <w:p w14:paraId="260C11EE" w14:textId="77777777" w:rsidR="001A2CEB" w:rsidRDefault="001A2CEB" w:rsidP="001A2CEB">
      <w:pPr>
        <w:rPr>
          <w:rFonts w:ascii="Arial" w:hAnsi="Arial" w:cs="Arial"/>
          <w:iCs/>
        </w:rPr>
      </w:pPr>
    </w:p>
    <w:p w14:paraId="7BFF859F" w14:textId="77777777" w:rsidR="009840BC" w:rsidRDefault="009840BC" w:rsidP="0061040F">
      <w:r>
        <w:rPr>
          <w:noProof/>
          <w:lang w:eastAsia="en-GB"/>
        </w:rPr>
        <w:drawing>
          <wp:inline distT="0" distB="0" distL="0" distR="0" wp14:anchorId="48721F6D" wp14:editId="505B333C">
            <wp:extent cx="5486400" cy="4607626"/>
            <wp:effectExtent l="0" t="0" r="19050" b="215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F8C2BF2" w14:textId="77777777" w:rsidR="00522EF1" w:rsidRDefault="00522EF1" w:rsidP="0061040F"/>
    <w:p w14:paraId="6A2AD81C" w14:textId="77777777" w:rsidR="00CB76CF" w:rsidRDefault="00CB76CF" w:rsidP="0061040F"/>
    <w:p w14:paraId="7C216477" w14:textId="77777777" w:rsidR="00CB76CF" w:rsidRDefault="00CB76CF" w:rsidP="0061040F"/>
    <w:p w14:paraId="5DC8C035" w14:textId="77777777" w:rsidR="00A80A61" w:rsidRDefault="00A80A61" w:rsidP="004023C2">
      <w:pPr>
        <w:jc w:val="both"/>
        <w:rPr>
          <w:rFonts w:ascii="Arial" w:hAnsi="Arial" w:cs="Arial"/>
          <w:iCs/>
          <w:lang w:eastAsia="en-GB"/>
        </w:rPr>
      </w:pPr>
    </w:p>
    <w:p w14:paraId="19B636FD" w14:textId="13578465" w:rsidR="003B674E" w:rsidRPr="00594E9C" w:rsidRDefault="00DA2A33" w:rsidP="003B674E">
      <w:pPr>
        <w:pStyle w:val="Heading2"/>
        <w:shd w:val="pct5" w:color="auto" w:fill="auto"/>
        <w:tabs>
          <w:tab w:val="left" w:pos="680"/>
        </w:tabs>
        <w:spacing w:before="0" w:after="0"/>
        <w:jc w:val="both"/>
        <w:rPr>
          <w:rFonts w:ascii="Arial" w:hAnsi="Arial"/>
          <w:i w:val="0"/>
          <w:iCs w:val="0"/>
          <w:color w:val="199DAF"/>
          <w:sz w:val="24"/>
          <w:szCs w:val="22"/>
        </w:rPr>
      </w:pPr>
      <w:bookmarkStart w:id="2" w:name="_Hlk168060915"/>
      <w:r>
        <w:rPr>
          <w:rFonts w:ascii="Arial" w:hAnsi="Arial"/>
          <w:i w:val="0"/>
          <w:iCs w:val="0"/>
          <w:color w:val="199DAF"/>
          <w:sz w:val="24"/>
          <w:szCs w:val="22"/>
        </w:rPr>
        <w:lastRenderedPageBreak/>
        <w:t>6</w:t>
      </w:r>
      <w:r w:rsidR="003B674E" w:rsidRPr="00594E9C">
        <w:rPr>
          <w:rFonts w:ascii="Arial" w:hAnsi="Arial"/>
          <w:i w:val="0"/>
          <w:iCs w:val="0"/>
          <w:color w:val="199DAF"/>
          <w:sz w:val="24"/>
          <w:szCs w:val="22"/>
        </w:rPr>
        <w:t xml:space="preserve">. </w:t>
      </w:r>
      <w:r w:rsidR="00BC14C2">
        <w:rPr>
          <w:rFonts w:ascii="Arial" w:hAnsi="Arial"/>
          <w:i w:val="0"/>
          <w:iCs w:val="0"/>
          <w:color w:val="199DAF"/>
          <w:sz w:val="24"/>
          <w:szCs w:val="22"/>
        </w:rPr>
        <w:t>Service Chargeable Items</w:t>
      </w:r>
      <w:r w:rsidR="00912870">
        <w:rPr>
          <w:rFonts w:ascii="Arial" w:hAnsi="Arial"/>
          <w:i w:val="0"/>
          <w:iCs w:val="0"/>
          <w:color w:val="199DAF"/>
          <w:sz w:val="24"/>
          <w:szCs w:val="22"/>
        </w:rPr>
        <w:t xml:space="preserve"> </w:t>
      </w:r>
      <w:r w:rsidR="003B674E" w:rsidRPr="00594E9C">
        <w:rPr>
          <w:rFonts w:ascii="Arial" w:hAnsi="Arial"/>
          <w:i w:val="0"/>
          <w:iCs w:val="0"/>
          <w:color w:val="199DAF"/>
          <w:sz w:val="24"/>
          <w:szCs w:val="22"/>
        </w:rPr>
        <w:t xml:space="preserve"> </w:t>
      </w:r>
    </w:p>
    <w:p w14:paraId="75ABF774" w14:textId="7E685456" w:rsidR="0061040F" w:rsidRDefault="0061040F" w:rsidP="0061040F"/>
    <w:p w14:paraId="4DBE9B08" w14:textId="09F25706" w:rsidR="00DF46A6" w:rsidRDefault="00DF46A6" w:rsidP="007877B7">
      <w:pPr>
        <w:spacing w:after="0" w:line="276" w:lineRule="auto"/>
        <w:ind w:left="-6"/>
        <w:jc w:val="both"/>
        <w:rPr>
          <w:rFonts w:ascii="Arial" w:eastAsia="Calibri" w:hAnsi="Arial" w:cs="Arial"/>
        </w:rPr>
      </w:pPr>
      <w:r w:rsidRPr="00F81D5C">
        <w:rPr>
          <w:rFonts w:ascii="Arial" w:eastAsia="Calibri" w:hAnsi="Arial" w:cs="Arial"/>
        </w:rPr>
        <w:t xml:space="preserve">Our service charges include the cost of all legally eligible expenditure attributable to an estate, scheme, or block where the costs are not deemed under the </w:t>
      </w:r>
      <w:r w:rsidR="004E7E16">
        <w:rPr>
          <w:rFonts w:ascii="Arial" w:eastAsia="Calibri" w:hAnsi="Arial" w:cs="Arial"/>
        </w:rPr>
        <w:t>occupancy agreement</w:t>
      </w:r>
      <w:r w:rsidRPr="00F81D5C">
        <w:rPr>
          <w:rFonts w:ascii="Arial" w:eastAsia="Calibri" w:hAnsi="Arial" w:cs="Arial"/>
        </w:rPr>
        <w:t xml:space="preserve"> to be included within the rent paid. We will account for the cost of all chargeable services provided to the properties. We will do this at estate, scheme, or block level as appropriate, and then allocate the cost between the properties that receive the service. This is the case </w:t>
      </w:r>
      <w:proofErr w:type="gramStart"/>
      <w:r w:rsidRPr="00F81D5C">
        <w:rPr>
          <w:rFonts w:ascii="Arial" w:eastAsia="Calibri" w:hAnsi="Arial" w:cs="Arial"/>
        </w:rPr>
        <w:t>whether or not</w:t>
      </w:r>
      <w:proofErr w:type="gramEnd"/>
      <w:r w:rsidR="00A80A61">
        <w:rPr>
          <w:rFonts w:ascii="Arial" w:eastAsia="Calibri" w:hAnsi="Arial" w:cs="Arial"/>
        </w:rPr>
        <w:t xml:space="preserve"> customers</w:t>
      </w:r>
      <w:r w:rsidRPr="00F81D5C">
        <w:rPr>
          <w:rFonts w:ascii="Arial" w:eastAsia="Calibri" w:hAnsi="Arial" w:cs="Arial"/>
        </w:rPr>
        <w:t xml:space="preserve"> cho</w:t>
      </w:r>
      <w:r w:rsidR="00161290">
        <w:rPr>
          <w:rFonts w:ascii="Arial" w:eastAsia="Calibri" w:hAnsi="Arial" w:cs="Arial"/>
        </w:rPr>
        <w:t>o</w:t>
      </w:r>
      <w:r w:rsidRPr="00F81D5C">
        <w:rPr>
          <w:rFonts w:ascii="Arial" w:eastAsia="Calibri" w:hAnsi="Arial" w:cs="Arial"/>
        </w:rPr>
        <w:t>se to make use of the facility to which the service and associated charge applies because that facility is maintained for their benefit and available to them to use if they chose to.</w:t>
      </w:r>
    </w:p>
    <w:bookmarkEnd w:id="2"/>
    <w:p w14:paraId="2D7AE071" w14:textId="77777777" w:rsidR="003B674E" w:rsidRDefault="003B674E" w:rsidP="0061040F"/>
    <w:p w14:paraId="1CC3A94F" w14:textId="6DE20E8D" w:rsidR="008353FA" w:rsidRPr="00594E9C" w:rsidRDefault="00DA2A33" w:rsidP="008353FA">
      <w:pPr>
        <w:pStyle w:val="Heading2"/>
        <w:shd w:val="pct5" w:color="auto" w:fill="auto"/>
        <w:tabs>
          <w:tab w:val="left" w:pos="680"/>
        </w:tabs>
        <w:spacing w:before="0" w:after="0"/>
        <w:jc w:val="both"/>
        <w:rPr>
          <w:rFonts w:ascii="Arial" w:hAnsi="Arial"/>
          <w:i w:val="0"/>
          <w:iCs w:val="0"/>
          <w:color w:val="199DAF"/>
          <w:sz w:val="24"/>
          <w:szCs w:val="22"/>
        </w:rPr>
      </w:pPr>
      <w:bookmarkStart w:id="3" w:name="_Hlk168063613"/>
      <w:r>
        <w:rPr>
          <w:rFonts w:ascii="Arial" w:hAnsi="Arial"/>
          <w:i w:val="0"/>
          <w:iCs w:val="0"/>
          <w:color w:val="199DAF"/>
          <w:sz w:val="24"/>
          <w:szCs w:val="22"/>
        </w:rPr>
        <w:t>7</w:t>
      </w:r>
      <w:r w:rsidR="008353FA" w:rsidRPr="00594E9C">
        <w:rPr>
          <w:rFonts w:ascii="Arial" w:hAnsi="Arial"/>
          <w:i w:val="0"/>
          <w:iCs w:val="0"/>
          <w:color w:val="199DAF"/>
          <w:sz w:val="24"/>
          <w:szCs w:val="22"/>
        </w:rPr>
        <w:t xml:space="preserve">. </w:t>
      </w:r>
      <w:r w:rsidR="00161DEA">
        <w:rPr>
          <w:rFonts w:ascii="Arial" w:hAnsi="Arial"/>
          <w:i w:val="0"/>
          <w:iCs w:val="0"/>
          <w:color w:val="199DAF"/>
          <w:sz w:val="24"/>
          <w:szCs w:val="22"/>
        </w:rPr>
        <w:t>Sinking Funds</w:t>
      </w:r>
      <w:r w:rsidR="008353FA">
        <w:rPr>
          <w:rFonts w:ascii="Arial" w:hAnsi="Arial"/>
          <w:i w:val="0"/>
          <w:iCs w:val="0"/>
          <w:color w:val="199DAF"/>
          <w:sz w:val="24"/>
          <w:szCs w:val="22"/>
        </w:rPr>
        <w:t xml:space="preserve"> </w:t>
      </w:r>
      <w:r w:rsidR="008353FA" w:rsidRPr="00594E9C">
        <w:rPr>
          <w:rFonts w:ascii="Arial" w:hAnsi="Arial"/>
          <w:i w:val="0"/>
          <w:iCs w:val="0"/>
          <w:color w:val="199DAF"/>
          <w:sz w:val="24"/>
          <w:szCs w:val="22"/>
        </w:rPr>
        <w:t xml:space="preserve"> </w:t>
      </w:r>
    </w:p>
    <w:bookmarkEnd w:id="3"/>
    <w:p w14:paraId="1942F133" w14:textId="77777777" w:rsidR="008353FA" w:rsidRDefault="008353FA" w:rsidP="008353FA"/>
    <w:p w14:paraId="4AD8125A" w14:textId="3F272398" w:rsidR="00535D95" w:rsidRPr="00587625" w:rsidRDefault="009054F2" w:rsidP="00535D95">
      <w:pPr>
        <w:spacing w:after="0" w:line="276" w:lineRule="auto"/>
        <w:jc w:val="both"/>
        <w:rPr>
          <w:rFonts w:ascii="Arial" w:eastAsia="Calibri" w:hAnsi="Arial" w:cs="Arial"/>
        </w:rPr>
      </w:pPr>
      <w:r w:rsidRPr="00587625">
        <w:rPr>
          <w:rFonts w:ascii="Arial" w:eastAsia="Calibri" w:hAnsi="Arial" w:cs="Arial"/>
        </w:rPr>
        <w:t>A sinking fund is a fund collected through the service charge to pay for future major repairs which may be unaffordable if requested in the year it was incurred (for example roof replacement, lift replacement). Funds are held within separate deposit account</w:t>
      </w:r>
      <w:r w:rsidR="001E1E3B">
        <w:rPr>
          <w:rFonts w:ascii="Arial" w:eastAsia="Calibri" w:hAnsi="Arial" w:cs="Arial"/>
        </w:rPr>
        <w:t>s</w:t>
      </w:r>
      <w:r w:rsidRPr="00587625">
        <w:rPr>
          <w:rFonts w:ascii="Arial" w:eastAsia="Calibri" w:hAnsi="Arial" w:cs="Arial"/>
        </w:rPr>
        <w:t xml:space="preserve">. </w:t>
      </w:r>
      <w:r w:rsidR="00535D95">
        <w:rPr>
          <w:rFonts w:ascii="Arial" w:eastAsia="Calibri" w:hAnsi="Arial" w:cs="Arial"/>
        </w:rPr>
        <w:t xml:space="preserve">In </w:t>
      </w:r>
      <w:r w:rsidR="00535D95" w:rsidRPr="00587625">
        <w:rPr>
          <w:rFonts w:ascii="Arial" w:eastAsia="Calibri" w:hAnsi="Arial" w:cs="Arial"/>
        </w:rPr>
        <w:t>circumstances where it has not been possible to collect sufficient sinking fund contributions to fully cover the cost of major work</w:t>
      </w:r>
      <w:r w:rsidR="004619EA">
        <w:rPr>
          <w:rFonts w:ascii="Arial" w:eastAsia="Calibri" w:hAnsi="Arial" w:cs="Arial"/>
        </w:rPr>
        <w:t>, d</w:t>
      </w:r>
      <w:r w:rsidR="00535D95" w:rsidRPr="00587625">
        <w:rPr>
          <w:rFonts w:ascii="Arial" w:eastAsia="Calibri" w:hAnsi="Arial" w:cs="Arial"/>
        </w:rPr>
        <w:t>epending on the wording of the Occupancy Agreement, it may be possible to recover the balance through the service charge in the year the work is undertaken.</w:t>
      </w:r>
    </w:p>
    <w:p w14:paraId="1DCE6649" w14:textId="77777777" w:rsidR="008353FA" w:rsidRDefault="008353FA" w:rsidP="0061040F"/>
    <w:p w14:paraId="2576A70A" w14:textId="2CAE4A8B" w:rsidR="005110E5" w:rsidRPr="00594E9C" w:rsidRDefault="006D1733" w:rsidP="005110E5">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8</w:t>
      </w:r>
      <w:r w:rsidR="005110E5" w:rsidRPr="00594E9C">
        <w:rPr>
          <w:rFonts w:ascii="Arial" w:hAnsi="Arial"/>
          <w:i w:val="0"/>
          <w:iCs w:val="0"/>
          <w:color w:val="199DAF"/>
          <w:sz w:val="24"/>
          <w:szCs w:val="22"/>
        </w:rPr>
        <w:t xml:space="preserve">.  </w:t>
      </w:r>
      <w:r w:rsidR="00BD6B6F">
        <w:rPr>
          <w:rFonts w:ascii="Arial" w:hAnsi="Arial"/>
          <w:i w:val="0"/>
          <w:iCs w:val="0"/>
          <w:color w:val="199DAF"/>
          <w:sz w:val="24"/>
          <w:szCs w:val="22"/>
        </w:rPr>
        <w:t xml:space="preserve">Third Party </w:t>
      </w:r>
      <w:r w:rsidR="00FC5BA5">
        <w:rPr>
          <w:rFonts w:ascii="Arial" w:hAnsi="Arial"/>
          <w:i w:val="0"/>
          <w:iCs w:val="0"/>
          <w:color w:val="199DAF"/>
          <w:sz w:val="24"/>
          <w:szCs w:val="22"/>
        </w:rPr>
        <w:t>Man</w:t>
      </w:r>
      <w:r w:rsidR="0007352F">
        <w:rPr>
          <w:rFonts w:ascii="Arial" w:hAnsi="Arial"/>
          <w:i w:val="0"/>
          <w:iCs w:val="0"/>
          <w:color w:val="199DAF"/>
          <w:sz w:val="24"/>
          <w:szCs w:val="22"/>
        </w:rPr>
        <w:t>ag</w:t>
      </w:r>
      <w:r w:rsidR="00EB13C9">
        <w:rPr>
          <w:rFonts w:ascii="Arial" w:hAnsi="Arial"/>
          <w:i w:val="0"/>
          <w:iCs w:val="0"/>
          <w:color w:val="199DAF"/>
          <w:sz w:val="24"/>
          <w:szCs w:val="22"/>
        </w:rPr>
        <w:t>ing Agent</w:t>
      </w:r>
      <w:r w:rsidR="005C4542">
        <w:rPr>
          <w:rFonts w:ascii="Arial" w:hAnsi="Arial"/>
          <w:i w:val="0"/>
          <w:iCs w:val="0"/>
          <w:color w:val="199DAF"/>
          <w:sz w:val="24"/>
          <w:szCs w:val="22"/>
        </w:rPr>
        <w:t>s</w:t>
      </w:r>
    </w:p>
    <w:p w14:paraId="52A0807F" w14:textId="2612CF57" w:rsidR="00B65438" w:rsidRDefault="006C2E82" w:rsidP="002A10E4">
      <w:pPr>
        <w:keepNext/>
        <w:spacing w:before="240" w:after="60" w:line="240" w:lineRule="auto"/>
        <w:ind w:right="95"/>
        <w:jc w:val="both"/>
        <w:outlineLvl w:val="0"/>
        <w:rPr>
          <w:rFonts w:ascii="Arial" w:hAnsi="Arial" w:cs="Arial"/>
        </w:rPr>
      </w:pPr>
      <w:r>
        <w:rPr>
          <w:rFonts w:ascii="Arial" w:hAnsi="Arial" w:cs="Arial"/>
        </w:rPr>
        <w:t xml:space="preserve">The </w:t>
      </w:r>
      <w:r w:rsidR="00BD6B6F">
        <w:rPr>
          <w:rFonts w:ascii="Arial" w:hAnsi="Arial" w:cs="Arial"/>
        </w:rPr>
        <w:t xml:space="preserve">Freeholder </w:t>
      </w:r>
      <w:r w:rsidR="00D3024A">
        <w:rPr>
          <w:rFonts w:ascii="Arial" w:hAnsi="Arial" w:cs="Arial"/>
        </w:rPr>
        <w:t>of a Section 106 development, also known as</w:t>
      </w:r>
      <w:r w:rsidR="007C42F2">
        <w:rPr>
          <w:rFonts w:ascii="Arial" w:hAnsi="Arial" w:cs="Arial"/>
        </w:rPr>
        <w:t xml:space="preserve"> the </w:t>
      </w:r>
      <w:r w:rsidR="00A23CCF">
        <w:rPr>
          <w:rFonts w:ascii="Arial" w:hAnsi="Arial" w:cs="Arial"/>
        </w:rPr>
        <w:t>superior l</w:t>
      </w:r>
      <w:r w:rsidR="00FC4606" w:rsidRPr="00FC4606">
        <w:rPr>
          <w:rFonts w:ascii="Arial" w:hAnsi="Arial" w:cs="Arial"/>
        </w:rPr>
        <w:t>andlord</w:t>
      </w:r>
      <w:r w:rsidR="009159E7">
        <w:rPr>
          <w:rFonts w:ascii="Arial" w:hAnsi="Arial" w:cs="Arial"/>
        </w:rPr>
        <w:t>,</w:t>
      </w:r>
      <w:r w:rsidR="00AF67E9">
        <w:rPr>
          <w:rFonts w:ascii="Arial" w:hAnsi="Arial" w:cs="Arial"/>
        </w:rPr>
        <w:t xml:space="preserve"> is</w:t>
      </w:r>
      <w:r w:rsidR="00392BF1">
        <w:rPr>
          <w:rFonts w:ascii="Arial" w:hAnsi="Arial" w:cs="Arial"/>
        </w:rPr>
        <w:t xml:space="preserve"> </w:t>
      </w:r>
      <w:r w:rsidR="006623CC">
        <w:rPr>
          <w:rFonts w:ascii="Arial" w:hAnsi="Arial" w:cs="Arial"/>
        </w:rPr>
        <w:t xml:space="preserve">responsible </w:t>
      </w:r>
      <w:r w:rsidR="00624FB0">
        <w:rPr>
          <w:rFonts w:ascii="Arial" w:hAnsi="Arial" w:cs="Arial"/>
        </w:rPr>
        <w:t xml:space="preserve">for the </w:t>
      </w:r>
      <w:r w:rsidR="00253BCC">
        <w:rPr>
          <w:rFonts w:ascii="Arial" w:hAnsi="Arial" w:cs="Arial"/>
        </w:rPr>
        <w:t xml:space="preserve">services </w:t>
      </w:r>
      <w:r w:rsidR="00FC4606" w:rsidRPr="00FC4606">
        <w:rPr>
          <w:rFonts w:ascii="Arial" w:hAnsi="Arial" w:cs="Arial"/>
        </w:rPr>
        <w:t>of running and maintaining the building</w:t>
      </w:r>
      <w:r w:rsidR="001504DE">
        <w:rPr>
          <w:rFonts w:ascii="Arial" w:hAnsi="Arial" w:cs="Arial"/>
        </w:rPr>
        <w:t xml:space="preserve"> and external areas</w:t>
      </w:r>
      <w:r w:rsidR="00392BF1">
        <w:rPr>
          <w:rFonts w:ascii="Arial" w:hAnsi="Arial" w:cs="Arial"/>
        </w:rPr>
        <w:t>. They</w:t>
      </w:r>
      <w:r w:rsidR="00FC4606" w:rsidRPr="00FC4606">
        <w:rPr>
          <w:rFonts w:ascii="Arial" w:hAnsi="Arial" w:cs="Arial"/>
        </w:rPr>
        <w:t xml:space="preserve"> </w:t>
      </w:r>
      <w:r w:rsidR="006623CC">
        <w:rPr>
          <w:rFonts w:ascii="Arial" w:hAnsi="Arial" w:cs="Arial"/>
        </w:rPr>
        <w:t xml:space="preserve">usually appoint a </w:t>
      </w:r>
      <w:proofErr w:type="gramStart"/>
      <w:r w:rsidR="006623CC">
        <w:rPr>
          <w:rFonts w:ascii="Arial" w:hAnsi="Arial" w:cs="Arial"/>
        </w:rPr>
        <w:t>third party</w:t>
      </w:r>
      <w:proofErr w:type="gramEnd"/>
      <w:r w:rsidR="006623CC">
        <w:rPr>
          <w:rFonts w:ascii="Arial" w:hAnsi="Arial" w:cs="Arial"/>
        </w:rPr>
        <w:t xml:space="preserve"> managing agent</w:t>
      </w:r>
      <w:r w:rsidR="009159E7">
        <w:rPr>
          <w:rFonts w:ascii="Arial" w:hAnsi="Arial" w:cs="Arial"/>
        </w:rPr>
        <w:t xml:space="preserve"> to deliver the services</w:t>
      </w:r>
      <w:r w:rsidR="003E390E">
        <w:rPr>
          <w:rFonts w:ascii="Arial" w:hAnsi="Arial" w:cs="Arial"/>
        </w:rPr>
        <w:t>. T</w:t>
      </w:r>
      <w:r w:rsidR="00624FB0">
        <w:rPr>
          <w:rFonts w:ascii="Arial" w:hAnsi="Arial" w:cs="Arial"/>
        </w:rPr>
        <w:t>he costs</w:t>
      </w:r>
      <w:r w:rsidR="006623CC">
        <w:rPr>
          <w:rFonts w:ascii="Arial" w:hAnsi="Arial" w:cs="Arial"/>
        </w:rPr>
        <w:t xml:space="preserve"> </w:t>
      </w:r>
      <w:r w:rsidR="00D76358">
        <w:rPr>
          <w:rFonts w:ascii="Arial" w:hAnsi="Arial" w:cs="Arial"/>
        </w:rPr>
        <w:t xml:space="preserve">are charged to </w:t>
      </w:r>
      <w:r w:rsidR="00C35DD9">
        <w:rPr>
          <w:rFonts w:ascii="Arial" w:hAnsi="Arial" w:cs="Arial"/>
        </w:rPr>
        <w:t xml:space="preserve">Riverside as </w:t>
      </w:r>
      <w:r w:rsidR="00307C42">
        <w:rPr>
          <w:rFonts w:ascii="Arial" w:hAnsi="Arial" w:cs="Arial"/>
        </w:rPr>
        <w:t xml:space="preserve">the Head </w:t>
      </w:r>
      <w:r w:rsidR="002C596C">
        <w:rPr>
          <w:rFonts w:ascii="Arial" w:hAnsi="Arial" w:cs="Arial"/>
        </w:rPr>
        <w:t>L</w:t>
      </w:r>
      <w:r w:rsidR="00307C42">
        <w:rPr>
          <w:rFonts w:ascii="Arial" w:hAnsi="Arial" w:cs="Arial"/>
        </w:rPr>
        <w:t>easeholder</w:t>
      </w:r>
      <w:r w:rsidR="00AF67E9">
        <w:rPr>
          <w:rFonts w:ascii="Arial" w:hAnsi="Arial" w:cs="Arial"/>
        </w:rPr>
        <w:t xml:space="preserve"> and Riverside re-charge </w:t>
      </w:r>
      <w:r w:rsidR="005D4052">
        <w:rPr>
          <w:rFonts w:ascii="Arial" w:hAnsi="Arial" w:cs="Arial"/>
        </w:rPr>
        <w:t>these to customers</w:t>
      </w:r>
      <w:r w:rsidR="00C35DD9">
        <w:rPr>
          <w:rFonts w:ascii="Arial" w:hAnsi="Arial" w:cs="Arial"/>
        </w:rPr>
        <w:t>.</w:t>
      </w:r>
      <w:r w:rsidR="003A7614">
        <w:rPr>
          <w:rFonts w:ascii="Arial" w:hAnsi="Arial" w:cs="Arial"/>
        </w:rPr>
        <w:t xml:space="preserve"> Care and Support </w:t>
      </w:r>
      <w:r w:rsidR="00E1420A">
        <w:rPr>
          <w:rFonts w:ascii="Arial" w:hAnsi="Arial" w:cs="Arial"/>
        </w:rPr>
        <w:t xml:space="preserve">also </w:t>
      </w:r>
      <w:r w:rsidR="003A7614">
        <w:rPr>
          <w:rFonts w:ascii="Arial" w:hAnsi="Arial" w:cs="Arial"/>
        </w:rPr>
        <w:t>have</w:t>
      </w:r>
      <w:r w:rsidR="00ED6948">
        <w:rPr>
          <w:rFonts w:ascii="Arial" w:hAnsi="Arial" w:cs="Arial"/>
        </w:rPr>
        <w:t xml:space="preserve"> third party manag</w:t>
      </w:r>
      <w:r w:rsidR="004757D9">
        <w:rPr>
          <w:rFonts w:ascii="Arial" w:hAnsi="Arial" w:cs="Arial"/>
        </w:rPr>
        <w:t>ing</w:t>
      </w:r>
      <w:r w:rsidR="00ED6948">
        <w:rPr>
          <w:rFonts w:ascii="Arial" w:hAnsi="Arial" w:cs="Arial"/>
        </w:rPr>
        <w:t xml:space="preserve"> agent relationships</w:t>
      </w:r>
      <w:r w:rsidR="004757D9">
        <w:rPr>
          <w:rFonts w:ascii="Arial" w:hAnsi="Arial" w:cs="Arial"/>
        </w:rPr>
        <w:t>.</w:t>
      </w:r>
    </w:p>
    <w:p w14:paraId="7BCF7478" w14:textId="61CD9603" w:rsidR="002A10E4" w:rsidRDefault="002C596C" w:rsidP="002A10E4">
      <w:pPr>
        <w:keepNext/>
        <w:spacing w:before="240" w:after="60" w:line="240" w:lineRule="auto"/>
        <w:ind w:right="95"/>
        <w:jc w:val="both"/>
        <w:outlineLvl w:val="0"/>
        <w:rPr>
          <w:rFonts w:ascii="Arial" w:hAnsi="Arial" w:cs="Arial"/>
        </w:rPr>
      </w:pPr>
      <w:r>
        <w:rPr>
          <w:rFonts w:ascii="Arial" w:hAnsi="Arial" w:cs="Arial"/>
        </w:rPr>
        <w:t>In th</w:t>
      </w:r>
      <w:r w:rsidR="00293126">
        <w:rPr>
          <w:rFonts w:ascii="Arial" w:hAnsi="Arial" w:cs="Arial"/>
        </w:rPr>
        <w:t>ese</w:t>
      </w:r>
      <w:r>
        <w:rPr>
          <w:rFonts w:ascii="Arial" w:hAnsi="Arial" w:cs="Arial"/>
        </w:rPr>
        <w:t xml:space="preserve"> scenario</w:t>
      </w:r>
      <w:r w:rsidR="00293126">
        <w:rPr>
          <w:rFonts w:ascii="Arial" w:hAnsi="Arial" w:cs="Arial"/>
        </w:rPr>
        <w:t>s</w:t>
      </w:r>
      <w:r w:rsidR="008711EB">
        <w:rPr>
          <w:rFonts w:ascii="Arial" w:hAnsi="Arial" w:cs="Arial"/>
        </w:rPr>
        <w:t>,</w:t>
      </w:r>
      <w:r w:rsidR="002A10E4">
        <w:rPr>
          <w:rFonts w:ascii="Arial" w:hAnsi="Arial" w:cs="Arial"/>
        </w:rPr>
        <w:t xml:space="preserve"> Riverside does not set or manage the service</w:t>
      </w:r>
      <w:r w:rsidR="0061588D">
        <w:rPr>
          <w:rFonts w:ascii="Arial" w:hAnsi="Arial" w:cs="Arial"/>
        </w:rPr>
        <w:t xml:space="preserve"> and subsequent service charges</w:t>
      </w:r>
      <w:r w:rsidR="00835C00">
        <w:rPr>
          <w:rFonts w:ascii="Arial" w:hAnsi="Arial" w:cs="Arial"/>
        </w:rPr>
        <w:t>.</w:t>
      </w:r>
      <w:r w:rsidR="002A10E4">
        <w:rPr>
          <w:rFonts w:ascii="Arial" w:hAnsi="Arial" w:cs="Arial"/>
        </w:rPr>
        <w:t xml:space="preserve"> </w:t>
      </w:r>
      <w:r w:rsidR="00B82421">
        <w:rPr>
          <w:rFonts w:ascii="Arial" w:hAnsi="Arial" w:cs="Arial"/>
        </w:rPr>
        <w:t xml:space="preserve">Riverside </w:t>
      </w:r>
      <w:r w:rsidR="00F417B7">
        <w:rPr>
          <w:rFonts w:ascii="Arial" w:hAnsi="Arial" w:cs="Arial"/>
        </w:rPr>
        <w:t>w</w:t>
      </w:r>
      <w:r w:rsidR="000637EF">
        <w:rPr>
          <w:rFonts w:ascii="Arial" w:hAnsi="Arial" w:cs="Arial"/>
        </w:rPr>
        <w:t>i</w:t>
      </w:r>
      <w:r w:rsidR="00F417B7">
        <w:rPr>
          <w:rFonts w:ascii="Arial" w:hAnsi="Arial" w:cs="Arial"/>
        </w:rPr>
        <w:t xml:space="preserve">ll </w:t>
      </w:r>
      <w:r w:rsidR="002A10E4" w:rsidRPr="008D1039">
        <w:rPr>
          <w:rFonts w:ascii="Arial" w:hAnsi="Arial" w:cs="Arial"/>
        </w:rPr>
        <w:t xml:space="preserve">advocate for </w:t>
      </w:r>
      <w:r w:rsidR="002A10E4">
        <w:rPr>
          <w:rFonts w:ascii="Arial" w:hAnsi="Arial" w:cs="Arial"/>
        </w:rPr>
        <w:t xml:space="preserve">our customers </w:t>
      </w:r>
      <w:r w:rsidR="002A10E4" w:rsidRPr="008D1039">
        <w:rPr>
          <w:rFonts w:ascii="Arial" w:hAnsi="Arial" w:cs="Arial"/>
        </w:rPr>
        <w:t xml:space="preserve">and liaise between the </w:t>
      </w:r>
      <w:r w:rsidR="002A10E4">
        <w:rPr>
          <w:rFonts w:ascii="Arial" w:hAnsi="Arial" w:cs="Arial"/>
        </w:rPr>
        <w:t xml:space="preserve">customer </w:t>
      </w:r>
      <w:r w:rsidR="002A10E4" w:rsidRPr="008D1039">
        <w:rPr>
          <w:rFonts w:ascii="Arial" w:hAnsi="Arial" w:cs="Arial"/>
        </w:rPr>
        <w:t xml:space="preserve">and superior landlord </w:t>
      </w:r>
      <w:r w:rsidR="00835C00">
        <w:rPr>
          <w:rFonts w:ascii="Arial" w:hAnsi="Arial" w:cs="Arial"/>
        </w:rPr>
        <w:t>and</w:t>
      </w:r>
      <w:r w:rsidR="002A10E4">
        <w:rPr>
          <w:rFonts w:ascii="Arial" w:hAnsi="Arial" w:cs="Arial"/>
        </w:rPr>
        <w:t xml:space="preserve"> </w:t>
      </w:r>
      <w:r w:rsidR="002A10E4" w:rsidRPr="008D1039">
        <w:rPr>
          <w:rFonts w:ascii="Arial" w:hAnsi="Arial" w:cs="Arial"/>
        </w:rPr>
        <w:t xml:space="preserve">will be clear with </w:t>
      </w:r>
      <w:r w:rsidR="002A10E4">
        <w:rPr>
          <w:rFonts w:ascii="Arial" w:hAnsi="Arial" w:cs="Arial"/>
        </w:rPr>
        <w:t xml:space="preserve">customers </w:t>
      </w:r>
      <w:r w:rsidR="002A10E4" w:rsidRPr="008D1039">
        <w:rPr>
          <w:rFonts w:ascii="Arial" w:hAnsi="Arial" w:cs="Arial"/>
        </w:rPr>
        <w:t xml:space="preserve">about what </w:t>
      </w:r>
      <w:r w:rsidR="002A10E4">
        <w:rPr>
          <w:rFonts w:ascii="Arial" w:hAnsi="Arial" w:cs="Arial"/>
        </w:rPr>
        <w:t xml:space="preserve">it </w:t>
      </w:r>
      <w:r w:rsidR="002A10E4" w:rsidRPr="008D1039">
        <w:rPr>
          <w:rFonts w:ascii="Arial" w:hAnsi="Arial" w:cs="Arial"/>
        </w:rPr>
        <w:t>can influence</w:t>
      </w:r>
      <w:r w:rsidR="002A10E4">
        <w:rPr>
          <w:rFonts w:ascii="Arial" w:hAnsi="Arial" w:cs="Arial"/>
        </w:rPr>
        <w:t xml:space="preserve"> and will inform customers </w:t>
      </w:r>
      <w:r w:rsidR="002A10E4" w:rsidRPr="008D1039">
        <w:rPr>
          <w:rFonts w:ascii="Arial" w:hAnsi="Arial" w:cs="Arial"/>
        </w:rPr>
        <w:t>on how to get more information or challenge cost</w:t>
      </w:r>
      <w:r w:rsidR="003040C1">
        <w:rPr>
          <w:rFonts w:ascii="Arial" w:hAnsi="Arial" w:cs="Arial"/>
        </w:rPr>
        <w:t>s</w:t>
      </w:r>
      <w:r w:rsidR="002A10E4" w:rsidRPr="008D1039">
        <w:rPr>
          <w:rFonts w:ascii="Arial" w:hAnsi="Arial" w:cs="Arial"/>
        </w:rPr>
        <w:t xml:space="preserve"> in relation to service charges.</w:t>
      </w:r>
    </w:p>
    <w:p w14:paraId="24617EE3" w14:textId="77777777" w:rsidR="002A10E4" w:rsidRDefault="002A10E4" w:rsidP="0061040F"/>
    <w:p w14:paraId="7FE14C3A" w14:textId="3D55B178" w:rsidR="00B1125F" w:rsidRPr="00594E9C" w:rsidRDefault="006D1733" w:rsidP="00B1125F">
      <w:pPr>
        <w:pStyle w:val="Heading2"/>
        <w:shd w:val="pct5" w:color="auto" w:fill="auto"/>
        <w:tabs>
          <w:tab w:val="left" w:pos="680"/>
        </w:tabs>
        <w:spacing w:before="0" w:after="0"/>
        <w:jc w:val="both"/>
        <w:rPr>
          <w:rFonts w:ascii="Arial" w:hAnsi="Arial"/>
          <w:i w:val="0"/>
          <w:iCs w:val="0"/>
          <w:color w:val="199DAF"/>
          <w:sz w:val="24"/>
          <w:szCs w:val="22"/>
        </w:rPr>
      </w:pPr>
      <w:bookmarkStart w:id="4" w:name="_Hlk128571511"/>
      <w:r>
        <w:rPr>
          <w:rFonts w:ascii="Arial" w:hAnsi="Arial"/>
          <w:i w:val="0"/>
          <w:iCs w:val="0"/>
          <w:color w:val="199DAF"/>
          <w:sz w:val="24"/>
          <w:szCs w:val="22"/>
        </w:rPr>
        <w:t>9</w:t>
      </w:r>
      <w:r w:rsidR="00B1125F" w:rsidRPr="00594E9C">
        <w:rPr>
          <w:rFonts w:ascii="Arial" w:hAnsi="Arial"/>
          <w:i w:val="0"/>
          <w:iCs w:val="0"/>
          <w:color w:val="199DAF"/>
          <w:sz w:val="24"/>
          <w:szCs w:val="22"/>
        </w:rPr>
        <w:t xml:space="preserve">. </w:t>
      </w:r>
      <w:r w:rsidR="00B1125F">
        <w:rPr>
          <w:rFonts w:ascii="Arial" w:hAnsi="Arial"/>
          <w:i w:val="0"/>
          <w:iCs w:val="0"/>
          <w:color w:val="199DAF"/>
          <w:sz w:val="24"/>
          <w:szCs w:val="22"/>
        </w:rPr>
        <w:t>Risks</w:t>
      </w:r>
      <w:r w:rsidR="00B1125F" w:rsidRPr="00594E9C">
        <w:rPr>
          <w:rFonts w:ascii="Arial" w:hAnsi="Arial"/>
          <w:i w:val="0"/>
          <w:iCs w:val="0"/>
          <w:color w:val="199DAF"/>
          <w:sz w:val="24"/>
          <w:szCs w:val="22"/>
        </w:rPr>
        <w:t xml:space="preserve"> </w:t>
      </w:r>
    </w:p>
    <w:p w14:paraId="01365BAA" w14:textId="77777777" w:rsidR="00B1125F" w:rsidRDefault="00B1125F" w:rsidP="00B1125F">
      <w:pPr>
        <w:rPr>
          <w:rFonts w:ascii="Arial" w:hAnsi="Arial" w:cs="Arial"/>
          <w:iCs/>
        </w:rPr>
      </w:pPr>
    </w:p>
    <w:p w14:paraId="1D672F59" w14:textId="341F954F" w:rsidR="00B1125F" w:rsidRPr="00104FA1" w:rsidRDefault="00B1125F" w:rsidP="00B1125F">
      <w:pPr>
        <w:contextualSpacing/>
        <w:jc w:val="both"/>
        <w:rPr>
          <w:rFonts w:ascii="Arial" w:hAnsi="Arial" w:cs="Arial"/>
          <w:sz w:val="24"/>
          <w:szCs w:val="24"/>
        </w:rPr>
      </w:pPr>
      <w:r w:rsidRPr="00104FA1">
        <w:rPr>
          <w:rFonts w:ascii="Arial" w:hAnsi="Arial" w:cs="Arial"/>
          <w:sz w:val="24"/>
          <w:szCs w:val="24"/>
        </w:rPr>
        <w:t xml:space="preserve">The Riverside Group has a policy of setting and varying service charges with a low-risk appetite and high-risk threshold. All tenures with a service charge regime must comply with this policy and the accompanying Service Charge </w:t>
      </w:r>
      <w:r>
        <w:rPr>
          <w:rFonts w:ascii="Arial" w:hAnsi="Arial" w:cs="Arial"/>
          <w:sz w:val="24"/>
          <w:szCs w:val="24"/>
        </w:rPr>
        <w:t>Framework</w:t>
      </w:r>
      <w:r w:rsidRPr="00104FA1">
        <w:rPr>
          <w:rFonts w:ascii="Arial" w:hAnsi="Arial" w:cs="Arial"/>
          <w:sz w:val="24"/>
          <w:szCs w:val="24"/>
        </w:rPr>
        <w:t xml:space="preserve">. Any variation in practice must be in line with the Occupancy Agreement terms. To ensure </w:t>
      </w:r>
      <w:r w:rsidRPr="00104FA1">
        <w:rPr>
          <w:rFonts w:ascii="Arial" w:hAnsi="Arial" w:cs="Arial"/>
          <w:sz w:val="24"/>
          <w:szCs w:val="24"/>
        </w:rPr>
        <w:lastRenderedPageBreak/>
        <w:t>compliance and assurance of service charge setting, a Service Charge Process Assurance is completed annually.</w:t>
      </w:r>
    </w:p>
    <w:p w14:paraId="1A9031B7" w14:textId="77777777" w:rsidR="00B1125F" w:rsidRDefault="00B1125F" w:rsidP="00B1125F">
      <w:pPr>
        <w:contextualSpacing/>
        <w:jc w:val="both"/>
        <w:rPr>
          <w:rFonts w:ascii="Arial" w:hAnsi="Arial" w:cs="Arial"/>
          <w:sz w:val="24"/>
          <w:szCs w:val="24"/>
        </w:rPr>
      </w:pPr>
    </w:p>
    <w:p w14:paraId="28D00A4B" w14:textId="7F62B9FA" w:rsidR="00B1125F" w:rsidRPr="00104FA1" w:rsidRDefault="00B1125F" w:rsidP="00B1125F">
      <w:pPr>
        <w:contextualSpacing/>
        <w:jc w:val="both"/>
        <w:rPr>
          <w:rFonts w:ascii="Arial" w:hAnsi="Arial" w:cs="Arial"/>
          <w:color w:val="000000"/>
          <w:sz w:val="24"/>
          <w:szCs w:val="24"/>
        </w:rPr>
      </w:pPr>
      <w:r w:rsidRPr="00104FA1">
        <w:rPr>
          <w:rFonts w:ascii="Arial" w:hAnsi="Arial" w:cs="Arial"/>
          <w:color w:val="000000"/>
          <w:sz w:val="24"/>
          <w:szCs w:val="24"/>
        </w:rPr>
        <w:t>In procuring service contracts, The Riverside Group uses a long-term qualifying works contract</w:t>
      </w:r>
      <w:r>
        <w:rPr>
          <w:rFonts w:ascii="Arial" w:hAnsi="Arial" w:cs="Arial"/>
          <w:color w:val="000000"/>
          <w:sz w:val="24"/>
          <w:szCs w:val="24"/>
        </w:rPr>
        <w:t>s</w:t>
      </w:r>
      <w:r w:rsidRPr="00104FA1">
        <w:rPr>
          <w:rFonts w:ascii="Arial" w:hAnsi="Arial" w:cs="Arial"/>
          <w:color w:val="000000"/>
          <w:sz w:val="24"/>
          <w:szCs w:val="24"/>
        </w:rPr>
        <w:t xml:space="preserve"> over individual contracts</w:t>
      </w:r>
      <w:r>
        <w:rPr>
          <w:rFonts w:ascii="Arial" w:hAnsi="Arial" w:cs="Arial"/>
          <w:color w:val="000000"/>
          <w:sz w:val="24"/>
          <w:szCs w:val="24"/>
        </w:rPr>
        <w:t xml:space="preserve"> to deliver services at Estate and Block </w:t>
      </w:r>
      <w:proofErr w:type="gramStart"/>
      <w:r>
        <w:rPr>
          <w:rFonts w:ascii="Arial" w:hAnsi="Arial" w:cs="Arial"/>
          <w:color w:val="000000"/>
          <w:sz w:val="24"/>
          <w:szCs w:val="24"/>
        </w:rPr>
        <w:t>level,</w:t>
      </w:r>
      <w:r w:rsidRPr="00104FA1">
        <w:rPr>
          <w:rFonts w:ascii="Arial" w:hAnsi="Arial" w:cs="Arial"/>
          <w:color w:val="000000"/>
          <w:sz w:val="24"/>
          <w:szCs w:val="24"/>
        </w:rPr>
        <w:t xml:space="preserve">  whenever</w:t>
      </w:r>
      <w:proofErr w:type="gramEnd"/>
      <w:r w:rsidRPr="00104FA1">
        <w:rPr>
          <w:rFonts w:ascii="Arial" w:hAnsi="Arial" w:cs="Arial"/>
          <w:color w:val="000000"/>
          <w:sz w:val="24"/>
          <w:szCs w:val="24"/>
        </w:rPr>
        <w:t xml:space="preserve"> possible. This is to ensure that the Group's suppliers comply with health and safety regulations, rather than just being the most cost-effective supplier. </w:t>
      </w:r>
      <w:proofErr w:type="gramStart"/>
      <w:r w:rsidRPr="00104FA1">
        <w:rPr>
          <w:rFonts w:ascii="Arial" w:hAnsi="Arial" w:cs="Arial"/>
          <w:color w:val="000000"/>
          <w:sz w:val="24"/>
          <w:szCs w:val="24"/>
        </w:rPr>
        <w:t xml:space="preserve">Riverside  </w:t>
      </w:r>
      <w:r>
        <w:rPr>
          <w:rFonts w:ascii="Arial" w:hAnsi="Arial" w:cs="Arial"/>
          <w:color w:val="000000"/>
          <w:sz w:val="24"/>
          <w:szCs w:val="24"/>
        </w:rPr>
        <w:t>will</w:t>
      </w:r>
      <w:proofErr w:type="gramEnd"/>
      <w:r>
        <w:rPr>
          <w:rFonts w:ascii="Arial" w:hAnsi="Arial" w:cs="Arial"/>
          <w:color w:val="000000"/>
          <w:sz w:val="24"/>
          <w:szCs w:val="24"/>
        </w:rPr>
        <w:t xml:space="preserve"> apply </w:t>
      </w:r>
      <w:r w:rsidRPr="00104FA1">
        <w:rPr>
          <w:rFonts w:ascii="Arial" w:hAnsi="Arial" w:cs="Arial"/>
          <w:color w:val="000000"/>
          <w:sz w:val="24"/>
          <w:szCs w:val="24"/>
        </w:rPr>
        <w:t>for dispensation for emergency works, which will be delivered without section 20 consultation.</w:t>
      </w:r>
    </w:p>
    <w:bookmarkEnd w:id="4"/>
    <w:p w14:paraId="300B8051" w14:textId="77777777" w:rsidR="00B1125F" w:rsidRDefault="00B1125F" w:rsidP="000D67AB">
      <w:pPr>
        <w:rPr>
          <w:rFonts w:ascii="Arial" w:hAnsi="Arial"/>
          <w:u w:val="single"/>
        </w:rPr>
      </w:pPr>
    </w:p>
    <w:p w14:paraId="2959107B" w14:textId="0CD386BE" w:rsidR="000D67AB" w:rsidRPr="00594E9C" w:rsidRDefault="006D1733" w:rsidP="000D67AB">
      <w:pPr>
        <w:pStyle w:val="Heading2"/>
        <w:shd w:val="pct5" w:color="auto" w:fill="auto"/>
        <w:tabs>
          <w:tab w:val="left" w:pos="680"/>
        </w:tabs>
        <w:spacing w:before="0" w:after="0"/>
        <w:jc w:val="both"/>
        <w:rPr>
          <w:rFonts w:ascii="Arial" w:hAnsi="Arial"/>
          <w:i w:val="0"/>
          <w:iCs w:val="0"/>
          <w:color w:val="199DAF"/>
          <w:sz w:val="24"/>
          <w:szCs w:val="22"/>
        </w:rPr>
      </w:pPr>
      <w:r>
        <w:rPr>
          <w:rFonts w:ascii="Arial" w:hAnsi="Arial"/>
          <w:i w:val="0"/>
          <w:iCs w:val="0"/>
          <w:color w:val="199DAF"/>
          <w:sz w:val="24"/>
          <w:szCs w:val="22"/>
        </w:rPr>
        <w:t>10</w:t>
      </w:r>
      <w:r w:rsidR="000D67AB" w:rsidRPr="00594E9C">
        <w:rPr>
          <w:rFonts w:ascii="Arial" w:hAnsi="Arial"/>
          <w:i w:val="0"/>
          <w:iCs w:val="0"/>
          <w:color w:val="199DAF"/>
          <w:sz w:val="24"/>
          <w:szCs w:val="22"/>
        </w:rPr>
        <w:t xml:space="preserve">. </w:t>
      </w:r>
      <w:r w:rsidR="000D67AB">
        <w:rPr>
          <w:rFonts w:ascii="Arial" w:hAnsi="Arial"/>
          <w:i w:val="0"/>
          <w:iCs w:val="0"/>
          <w:color w:val="199DAF"/>
          <w:sz w:val="24"/>
          <w:szCs w:val="22"/>
        </w:rPr>
        <w:t>Appeal &amp; Complaints</w:t>
      </w:r>
      <w:r w:rsidR="000D67AB" w:rsidRPr="00594E9C">
        <w:rPr>
          <w:rFonts w:ascii="Arial" w:hAnsi="Arial"/>
          <w:i w:val="0"/>
          <w:iCs w:val="0"/>
          <w:color w:val="199DAF"/>
          <w:sz w:val="24"/>
          <w:szCs w:val="22"/>
        </w:rPr>
        <w:t xml:space="preserve"> </w:t>
      </w:r>
    </w:p>
    <w:p w14:paraId="58DA05F0" w14:textId="77777777" w:rsidR="000D67AB" w:rsidRDefault="000D67AB" w:rsidP="000D67AB"/>
    <w:p w14:paraId="3F22BE6D" w14:textId="77777777" w:rsidR="000D67AB" w:rsidRPr="002368D2" w:rsidRDefault="000D67AB" w:rsidP="000D67AB">
      <w:pPr>
        <w:jc w:val="both"/>
        <w:rPr>
          <w:rFonts w:ascii="Arial" w:hAnsi="Arial" w:cs="Arial"/>
        </w:rPr>
      </w:pPr>
      <w:r w:rsidRPr="002368D2">
        <w:rPr>
          <w:rFonts w:ascii="Arial" w:hAnsi="Arial" w:cs="Arial"/>
        </w:rPr>
        <w:t>Customers can complain about Riverside’s adherence to the Service Charge Policy or other aspects of the Service Charge Setting process under our Complaints Policy which is published on the Riverside website.</w:t>
      </w:r>
    </w:p>
    <w:p w14:paraId="32F02734" w14:textId="77777777" w:rsidR="000D67AB" w:rsidRPr="002368D2" w:rsidRDefault="000D67AB" w:rsidP="000D67AB">
      <w:pPr>
        <w:jc w:val="both"/>
        <w:rPr>
          <w:rFonts w:ascii="Arial" w:hAnsi="Arial" w:cs="Arial"/>
        </w:rPr>
      </w:pPr>
      <w:r w:rsidRPr="002368D2">
        <w:rPr>
          <w:rFonts w:ascii="Arial" w:hAnsi="Arial" w:cs="Arial"/>
        </w:rPr>
        <w:t xml:space="preserve">Leaseholders </w:t>
      </w:r>
      <w:r>
        <w:rPr>
          <w:rFonts w:ascii="Arial" w:hAnsi="Arial" w:cs="Arial"/>
        </w:rPr>
        <w:t xml:space="preserve">and Tenants on variable service charges </w:t>
      </w:r>
      <w:r w:rsidRPr="002368D2">
        <w:rPr>
          <w:rFonts w:ascii="Arial" w:hAnsi="Arial" w:cs="Arial"/>
        </w:rPr>
        <w:t>have the right to refer the service charge methodology to the First Tier Property Tribunal. Other customers have the right to refer their service charges to the Housing Ombudsman Service.</w:t>
      </w:r>
    </w:p>
    <w:p w14:paraId="421CB3EE" w14:textId="77777777" w:rsidR="000D67AB" w:rsidRPr="00DF7363" w:rsidRDefault="000D67AB" w:rsidP="000D67AB">
      <w:pPr>
        <w:rPr>
          <w:rFonts w:ascii="Arial" w:hAnsi="Arial"/>
        </w:rPr>
      </w:pPr>
    </w:p>
    <w:p w14:paraId="622F9A95" w14:textId="23011F3F" w:rsidR="000D67AB" w:rsidRPr="00594E9C" w:rsidRDefault="006D1733" w:rsidP="000D67AB">
      <w:pPr>
        <w:pStyle w:val="Heading2"/>
        <w:shd w:val="pct5" w:color="auto" w:fill="auto"/>
        <w:tabs>
          <w:tab w:val="left" w:pos="680"/>
        </w:tabs>
        <w:spacing w:before="0" w:after="0"/>
        <w:jc w:val="both"/>
        <w:rPr>
          <w:rFonts w:ascii="Arial" w:hAnsi="Arial"/>
          <w:i w:val="0"/>
          <w:iCs w:val="0"/>
          <w:color w:val="199DAF"/>
          <w:sz w:val="24"/>
          <w:szCs w:val="22"/>
        </w:rPr>
      </w:pPr>
      <w:bookmarkStart w:id="5" w:name="_Hlk165376147"/>
      <w:r>
        <w:rPr>
          <w:rFonts w:ascii="Arial" w:hAnsi="Arial"/>
          <w:i w:val="0"/>
          <w:iCs w:val="0"/>
          <w:color w:val="199DAF"/>
          <w:sz w:val="24"/>
          <w:szCs w:val="22"/>
        </w:rPr>
        <w:t>11</w:t>
      </w:r>
      <w:r w:rsidR="000D67AB" w:rsidRPr="00594E9C">
        <w:rPr>
          <w:rFonts w:ascii="Arial" w:hAnsi="Arial"/>
          <w:i w:val="0"/>
          <w:iCs w:val="0"/>
          <w:color w:val="199DAF"/>
          <w:sz w:val="24"/>
          <w:szCs w:val="22"/>
        </w:rPr>
        <w:t xml:space="preserve">. Equality, Diversity and Inclusion </w:t>
      </w:r>
      <w:bookmarkStart w:id="6" w:name="_Hlk165376129"/>
    </w:p>
    <w:bookmarkEnd w:id="5"/>
    <w:bookmarkEnd w:id="6"/>
    <w:p w14:paraId="574A4043" w14:textId="77777777" w:rsidR="000D67AB" w:rsidRPr="00346729" w:rsidRDefault="000D67AB" w:rsidP="000D67AB">
      <w:pPr>
        <w:jc w:val="both"/>
        <w:rPr>
          <w:rFonts w:ascii="Arial" w:hAnsi="Arial" w:cs="Arial"/>
          <w:color w:val="000000"/>
        </w:rPr>
      </w:pPr>
    </w:p>
    <w:p w14:paraId="56902706" w14:textId="77777777" w:rsidR="000D67AB" w:rsidRDefault="000D67AB" w:rsidP="000D67AB">
      <w:pPr>
        <w:jc w:val="both"/>
        <w:rPr>
          <w:rFonts w:ascii="Arial" w:hAnsi="Arial" w:cs="Arial"/>
          <w:iCs/>
          <w:lang w:eastAsia="en-GB"/>
        </w:rPr>
      </w:pPr>
      <w:r w:rsidRPr="00346729">
        <w:rPr>
          <w:rFonts w:ascii="Arial" w:hAnsi="Arial" w:cs="Arial"/>
          <w:iCs/>
        </w:rPr>
        <w:t xml:space="preserve">Riverside is committed to Equality, Diversity &amp; Inclusion. We strive to be fair in our dealings with all people, communities and organisations, </w:t>
      </w:r>
      <w:proofErr w:type="gramStart"/>
      <w:r w:rsidRPr="00346729">
        <w:rPr>
          <w:rFonts w:ascii="Arial" w:hAnsi="Arial" w:cs="Arial"/>
          <w:iCs/>
        </w:rPr>
        <w:t>taking into account</w:t>
      </w:r>
      <w:proofErr w:type="gramEnd"/>
      <w:r w:rsidRPr="00346729">
        <w:rPr>
          <w:rFonts w:ascii="Arial" w:hAnsi="Arial" w:cs="Arial"/>
          <w:iCs/>
        </w:rPr>
        <w:t xml:space="preserve"> the diverse nature of their culture and background and actively promoting inclusion. </w:t>
      </w:r>
      <w:r w:rsidRPr="00346729">
        <w:rPr>
          <w:rFonts w:ascii="Arial" w:hAnsi="Arial" w:cs="Arial"/>
          <w:iCs/>
          <w:lang w:eastAsia="en-GB"/>
        </w:rPr>
        <w:t xml:space="preserve">This policy aligns with Riverside’s </w:t>
      </w:r>
      <w:hyperlink r:id="rId21" w:history="1">
        <w:r w:rsidRPr="00346729">
          <w:rPr>
            <w:rStyle w:val="Hyperlink"/>
            <w:rFonts w:ascii="Arial" w:hAnsi="Arial" w:cs="Arial"/>
            <w:iCs/>
            <w:lang w:eastAsia="en-GB"/>
          </w:rPr>
          <w:t>Equality, Diversity and Inclusion Policy</w:t>
        </w:r>
      </w:hyperlink>
      <w:r w:rsidRPr="00346729">
        <w:rPr>
          <w:rFonts w:ascii="Arial" w:hAnsi="Arial" w:cs="Arial"/>
          <w:iCs/>
          <w:lang w:eastAsia="en-GB"/>
        </w:rPr>
        <w:t xml:space="preserve"> and has been subject to an Equality Impact Assessment.</w:t>
      </w:r>
    </w:p>
    <w:p w14:paraId="614108A9" w14:textId="44094FDF" w:rsidR="0061040F" w:rsidRPr="00250106" w:rsidRDefault="0061040F" w:rsidP="00713BDB">
      <w:pPr>
        <w:pStyle w:val="DocControlHeading"/>
        <w:shd w:val="clear" w:color="auto" w:fill="00A0AF"/>
        <w:spacing w:before="0"/>
        <w:ind w:right="-144"/>
        <w:rPr>
          <w:rFonts w:ascii="Arial" w:hAnsi="Arial"/>
          <w:color w:val="FFFFFF"/>
          <w:sz w:val="22"/>
          <w:szCs w:val="22"/>
        </w:rPr>
      </w:pPr>
      <w:r w:rsidRPr="00250106">
        <w:rPr>
          <w:rFonts w:ascii="Arial" w:hAnsi="Arial"/>
          <w:color w:val="FFFFFF"/>
          <w:sz w:val="22"/>
          <w:szCs w:val="22"/>
        </w:rPr>
        <w:t>Document Control</w:t>
      </w:r>
      <w:r w:rsidR="00853BEB">
        <w:rPr>
          <w:rFonts w:ascii="Arial" w:hAnsi="Arial"/>
          <w:color w:val="FFFFFF"/>
          <w:sz w:val="22"/>
          <w:szCs w:val="22"/>
        </w:rPr>
        <w:t xml:space="preserve"> (Internal Use ONLY)</w:t>
      </w:r>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2207"/>
        <w:gridCol w:w="6804"/>
      </w:tblGrid>
      <w:tr w:rsidR="0061040F" w:rsidRPr="00250106" w14:paraId="4AE7803F"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16F62E6A" w14:textId="1363B392" w:rsidR="0061040F" w:rsidRPr="00250106" w:rsidRDefault="0061040F" w:rsidP="00F947D7">
            <w:pPr>
              <w:spacing w:before="40" w:after="40"/>
              <w:rPr>
                <w:rFonts w:ascii="Arial" w:hAnsi="Arial" w:cs="Arial"/>
              </w:rPr>
            </w:pPr>
            <w:r w:rsidRPr="00250106">
              <w:rPr>
                <w:rFonts w:ascii="Arial" w:hAnsi="Arial" w:cs="Arial"/>
              </w:rPr>
              <w:t>Version</w:t>
            </w:r>
          </w:p>
        </w:tc>
        <w:tc>
          <w:tcPr>
            <w:tcW w:w="6804" w:type="dxa"/>
            <w:tcBorders>
              <w:top w:val="single" w:sz="4" w:space="0" w:color="C0C0C0"/>
              <w:left w:val="single" w:sz="4" w:space="0" w:color="C0C0C0"/>
              <w:bottom w:val="single" w:sz="4" w:space="0" w:color="C0C0C0"/>
              <w:right w:val="single" w:sz="4" w:space="0" w:color="C0C0C0"/>
            </w:tcBorders>
          </w:tcPr>
          <w:p w14:paraId="7D5F4503" w14:textId="3B707E89" w:rsidR="0061040F" w:rsidRPr="007E3AD0" w:rsidRDefault="00800CE2" w:rsidP="00BC3430">
            <w:pPr>
              <w:spacing w:before="40" w:after="40"/>
              <w:jc w:val="both"/>
              <w:rPr>
                <w:rFonts w:ascii="Arial" w:hAnsi="Arial" w:cs="Arial"/>
              </w:rPr>
            </w:pPr>
            <w:r>
              <w:rPr>
                <w:rFonts w:ascii="Arial" w:hAnsi="Arial" w:cs="Arial"/>
              </w:rPr>
              <w:t>3.0</w:t>
            </w:r>
          </w:p>
        </w:tc>
      </w:tr>
      <w:tr w:rsidR="00F947D7" w:rsidRPr="00250106" w14:paraId="2A58B7BF"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385D909F" w14:textId="23CD3B2B" w:rsidR="00F947D7" w:rsidRPr="00250106" w:rsidRDefault="00F947D7" w:rsidP="00BC3430">
            <w:pPr>
              <w:spacing w:before="40" w:after="40"/>
              <w:rPr>
                <w:rFonts w:ascii="Arial" w:hAnsi="Arial" w:cs="Arial"/>
              </w:rPr>
            </w:pPr>
            <w:r>
              <w:rPr>
                <w:rFonts w:ascii="Arial" w:hAnsi="Arial" w:cs="Arial"/>
              </w:rPr>
              <w:t>Reference</w:t>
            </w:r>
          </w:p>
        </w:tc>
        <w:tc>
          <w:tcPr>
            <w:tcW w:w="6804" w:type="dxa"/>
            <w:tcBorders>
              <w:top w:val="single" w:sz="4" w:space="0" w:color="C0C0C0"/>
              <w:left w:val="single" w:sz="4" w:space="0" w:color="C0C0C0"/>
              <w:bottom w:val="single" w:sz="4" w:space="0" w:color="C0C0C0"/>
              <w:right w:val="single" w:sz="4" w:space="0" w:color="C0C0C0"/>
            </w:tcBorders>
          </w:tcPr>
          <w:p w14:paraId="7881E5C5" w14:textId="77777777" w:rsidR="00F947D7" w:rsidRPr="007E3AD0" w:rsidRDefault="00F947D7" w:rsidP="00BC3430">
            <w:pPr>
              <w:spacing w:before="40" w:after="40"/>
              <w:jc w:val="both"/>
              <w:rPr>
                <w:rFonts w:ascii="Arial" w:hAnsi="Arial" w:cs="Arial"/>
              </w:rPr>
            </w:pPr>
          </w:p>
        </w:tc>
      </w:tr>
      <w:tr w:rsidR="0061040F" w:rsidRPr="00250106" w14:paraId="760BE801"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2E2FC9FA" w14:textId="7A870394" w:rsidR="0061040F" w:rsidRPr="00250106" w:rsidRDefault="00F947D7" w:rsidP="00BC3430">
            <w:pPr>
              <w:spacing w:before="40" w:after="40"/>
              <w:rPr>
                <w:rFonts w:ascii="Arial" w:hAnsi="Arial" w:cs="Arial"/>
              </w:rPr>
            </w:pPr>
            <w:r>
              <w:rPr>
                <w:rFonts w:ascii="Arial" w:hAnsi="Arial" w:cs="Arial"/>
              </w:rPr>
              <w:t>Total Pages</w:t>
            </w:r>
          </w:p>
        </w:tc>
        <w:tc>
          <w:tcPr>
            <w:tcW w:w="6804" w:type="dxa"/>
            <w:tcBorders>
              <w:top w:val="single" w:sz="4" w:space="0" w:color="C0C0C0"/>
              <w:left w:val="single" w:sz="4" w:space="0" w:color="C0C0C0"/>
              <w:bottom w:val="single" w:sz="4" w:space="0" w:color="C0C0C0"/>
              <w:right w:val="single" w:sz="4" w:space="0" w:color="C0C0C0"/>
            </w:tcBorders>
          </w:tcPr>
          <w:p w14:paraId="7A645488" w14:textId="434F6F94" w:rsidR="0061040F" w:rsidRPr="007E3AD0" w:rsidRDefault="00D750E0" w:rsidP="00BC3430">
            <w:pPr>
              <w:spacing w:before="40" w:after="40"/>
              <w:jc w:val="both"/>
              <w:rPr>
                <w:rFonts w:ascii="Arial" w:hAnsi="Arial" w:cs="Arial"/>
              </w:rPr>
            </w:pPr>
            <w:r>
              <w:rPr>
                <w:rFonts w:ascii="Arial" w:hAnsi="Arial" w:cs="Arial"/>
              </w:rPr>
              <w:t>10</w:t>
            </w:r>
          </w:p>
        </w:tc>
      </w:tr>
      <w:tr w:rsidR="009840BC" w:rsidRPr="00250106" w14:paraId="5731E7E5"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41D05F48" w14:textId="4CBA7D08" w:rsidR="009840BC" w:rsidRDefault="00F947D7" w:rsidP="00BC3430">
            <w:pPr>
              <w:spacing w:before="40" w:after="40"/>
              <w:rPr>
                <w:rFonts w:ascii="Arial" w:hAnsi="Arial" w:cs="Arial"/>
              </w:rPr>
            </w:pPr>
            <w:r>
              <w:rPr>
                <w:rFonts w:ascii="Arial" w:hAnsi="Arial" w:cs="Arial"/>
              </w:rPr>
              <w:t>Policy Sponsor</w:t>
            </w:r>
          </w:p>
        </w:tc>
        <w:tc>
          <w:tcPr>
            <w:tcW w:w="6804" w:type="dxa"/>
            <w:tcBorders>
              <w:top w:val="single" w:sz="4" w:space="0" w:color="C0C0C0"/>
              <w:left w:val="single" w:sz="4" w:space="0" w:color="C0C0C0"/>
              <w:bottom w:val="single" w:sz="4" w:space="0" w:color="C0C0C0"/>
              <w:right w:val="single" w:sz="4" w:space="0" w:color="C0C0C0"/>
            </w:tcBorders>
          </w:tcPr>
          <w:p w14:paraId="71E41CCD" w14:textId="0B5471BC" w:rsidR="009840BC" w:rsidRPr="00326F39" w:rsidRDefault="00C53D1E" w:rsidP="00BC3430">
            <w:pPr>
              <w:spacing w:before="40" w:after="40"/>
              <w:jc w:val="both"/>
              <w:rPr>
                <w:rFonts w:ascii="Arial" w:hAnsi="Arial" w:cs="Arial"/>
              </w:rPr>
            </w:pPr>
            <w:r>
              <w:rPr>
                <w:rFonts w:ascii="Arial" w:hAnsi="Arial" w:cs="Arial"/>
              </w:rPr>
              <w:t xml:space="preserve"> Executive Director Customer Service</w:t>
            </w:r>
          </w:p>
        </w:tc>
      </w:tr>
      <w:tr w:rsidR="0061040F" w:rsidRPr="00250106" w14:paraId="05C3277C"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309A2D1C" w14:textId="357BC9A7" w:rsidR="0061040F" w:rsidRDefault="00F947D7" w:rsidP="00BC3430">
            <w:pPr>
              <w:spacing w:before="40" w:after="40"/>
              <w:rPr>
                <w:rFonts w:ascii="Arial" w:hAnsi="Arial" w:cs="Arial"/>
              </w:rPr>
            </w:pPr>
            <w:r>
              <w:rPr>
                <w:rFonts w:ascii="Arial" w:hAnsi="Arial" w:cs="Arial"/>
              </w:rPr>
              <w:t>Policy Owner</w:t>
            </w:r>
          </w:p>
        </w:tc>
        <w:tc>
          <w:tcPr>
            <w:tcW w:w="6804" w:type="dxa"/>
            <w:tcBorders>
              <w:top w:val="single" w:sz="4" w:space="0" w:color="C0C0C0"/>
              <w:left w:val="single" w:sz="4" w:space="0" w:color="C0C0C0"/>
              <w:bottom w:val="single" w:sz="4" w:space="0" w:color="C0C0C0"/>
              <w:right w:val="single" w:sz="4" w:space="0" w:color="C0C0C0"/>
            </w:tcBorders>
          </w:tcPr>
          <w:p w14:paraId="25C15ABF" w14:textId="16A9102A" w:rsidR="0061040F" w:rsidRPr="00326F39" w:rsidRDefault="00A82E16" w:rsidP="00BC3430">
            <w:pPr>
              <w:spacing w:before="40" w:after="40"/>
              <w:jc w:val="both"/>
              <w:rPr>
                <w:rFonts w:ascii="Arial" w:hAnsi="Arial" w:cs="Arial"/>
              </w:rPr>
            </w:pPr>
            <w:r>
              <w:rPr>
                <w:rFonts w:ascii="Arial" w:hAnsi="Arial" w:cs="Arial"/>
              </w:rPr>
              <w:t xml:space="preserve"> Group Head of Rents and Service Charges</w:t>
            </w:r>
          </w:p>
        </w:tc>
      </w:tr>
      <w:tr w:rsidR="0061040F" w:rsidRPr="00250106" w14:paraId="20A8B999"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2ACE6836" w14:textId="1AD49DD9" w:rsidR="0061040F" w:rsidRDefault="00F947D7" w:rsidP="00BA3C4B">
            <w:pPr>
              <w:spacing w:before="40" w:after="40"/>
              <w:rPr>
                <w:rFonts w:ascii="Arial" w:hAnsi="Arial" w:cs="Arial"/>
              </w:rPr>
            </w:pPr>
            <w:r>
              <w:rPr>
                <w:rFonts w:ascii="Arial" w:hAnsi="Arial" w:cs="Arial"/>
              </w:rPr>
              <w:t xml:space="preserve">Policy </w:t>
            </w:r>
            <w:r w:rsidR="00BA3C4B">
              <w:rPr>
                <w:rFonts w:ascii="Arial" w:hAnsi="Arial" w:cs="Arial"/>
              </w:rPr>
              <w:t>Author</w:t>
            </w:r>
          </w:p>
        </w:tc>
        <w:tc>
          <w:tcPr>
            <w:tcW w:w="6804" w:type="dxa"/>
            <w:tcBorders>
              <w:top w:val="single" w:sz="4" w:space="0" w:color="C0C0C0"/>
              <w:left w:val="single" w:sz="4" w:space="0" w:color="C0C0C0"/>
              <w:bottom w:val="single" w:sz="4" w:space="0" w:color="C0C0C0"/>
              <w:right w:val="single" w:sz="4" w:space="0" w:color="C0C0C0"/>
            </w:tcBorders>
          </w:tcPr>
          <w:p w14:paraId="4B80A0E1" w14:textId="59476D8A" w:rsidR="0061040F" w:rsidRPr="00326F39" w:rsidRDefault="003177F3" w:rsidP="00BC3430">
            <w:pPr>
              <w:spacing w:before="40" w:after="40"/>
              <w:jc w:val="both"/>
              <w:rPr>
                <w:rFonts w:ascii="Arial" w:hAnsi="Arial" w:cs="Arial"/>
              </w:rPr>
            </w:pPr>
            <w:r>
              <w:rPr>
                <w:rFonts w:ascii="Arial" w:hAnsi="Arial" w:cs="Arial"/>
              </w:rPr>
              <w:t>Head of Rents and Service Charge Policy</w:t>
            </w:r>
          </w:p>
        </w:tc>
      </w:tr>
      <w:tr w:rsidR="001D0391" w:rsidRPr="00250106" w14:paraId="1CD17A0C"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058D6B35" w14:textId="41161B96" w:rsidR="001D0391" w:rsidRDefault="001D0391" w:rsidP="00BA3C4B">
            <w:pPr>
              <w:spacing w:before="40" w:after="40"/>
              <w:rPr>
                <w:rFonts w:ascii="Arial" w:hAnsi="Arial" w:cs="Arial"/>
              </w:rPr>
            </w:pPr>
            <w:r>
              <w:rPr>
                <w:rFonts w:ascii="Arial" w:hAnsi="Arial" w:cs="Arial"/>
              </w:rPr>
              <w:t>Date Approved</w:t>
            </w:r>
          </w:p>
        </w:tc>
        <w:tc>
          <w:tcPr>
            <w:tcW w:w="6804" w:type="dxa"/>
            <w:tcBorders>
              <w:top w:val="single" w:sz="4" w:space="0" w:color="C0C0C0"/>
              <w:left w:val="single" w:sz="4" w:space="0" w:color="C0C0C0"/>
              <w:bottom w:val="single" w:sz="4" w:space="0" w:color="C0C0C0"/>
              <w:right w:val="single" w:sz="4" w:space="0" w:color="C0C0C0"/>
            </w:tcBorders>
          </w:tcPr>
          <w:p w14:paraId="1D568FA5" w14:textId="77777777" w:rsidR="001D0391" w:rsidRPr="00326F39" w:rsidRDefault="001D0391" w:rsidP="00BC3430">
            <w:pPr>
              <w:spacing w:before="40" w:after="40"/>
              <w:jc w:val="both"/>
              <w:rPr>
                <w:rFonts w:ascii="Arial" w:hAnsi="Arial" w:cs="Arial"/>
              </w:rPr>
            </w:pPr>
          </w:p>
        </w:tc>
      </w:tr>
      <w:tr w:rsidR="0061040F" w:rsidRPr="00250106" w14:paraId="7215D92F"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03E4DE9B" w14:textId="346201FB" w:rsidR="0061040F" w:rsidRDefault="00BA3C4B" w:rsidP="00BC3430">
            <w:pPr>
              <w:spacing w:before="40" w:after="40"/>
              <w:rPr>
                <w:rFonts w:ascii="Arial" w:hAnsi="Arial" w:cs="Arial"/>
              </w:rPr>
            </w:pPr>
            <w:r>
              <w:rPr>
                <w:rFonts w:ascii="Arial" w:hAnsi="Arial" w:cs="Arial"/>
              </w:rPr>
              <w:t>Next R</w:t>
            </w:r>
            <w:r w:rsidR="0061040F">
              <w:rPr>
                <w:rFonts w:ascii="Arial" w:hAnsi="Arial" w:cs="Arial"/>
              </w:rPr>
              <w:t>eview Date</w:t>
            </w:r>
          </w:p>
        </w:tc>
        <w:tc>
          <w:tcPr>
            <w:tcW w:w="6804" w:type="dxa"/>
            <w:tcBorders>
              <w:top w:val="single" w:sz="4" w:space="0" w:color="C0C0C0"/>
              <w:left w:val="single" w:sz="4" w:space="0" w:color="C0C0C0"/>
              <w:bottom w:val="single" w:sz="4" w:space="0" w:color="C0C0C0"/>
              <w:right w:val="single" w:sz="4" w:space="0" w:color="C0C0C0"/>
            </w:tcBorders>
          </w:tcPr>
          <w:p w14:paraId="7E3C8060" w14:textId="721734DE" w:rsidR="0061040F" w:rsidRPr="00326F39" w:rsidRDefault="003D42AB" w:rsidP="00BC3430">
            <w:pPr>
              <w:spacing w:before="40" w:after="40"/>
              <w:jc w:val="both"/>
              <w:rPr>
                <w:rFonts w:ascii="Arial" w:hAnsi="Arial" w:cs="Arial"/>
              </w:rPr>
            </w:pPr>
            <w:r>
              <w:rPr>
                <w:rFonts w:ascii="Arial" w:hAnsi="Arial" w:cs="Arial"/>
              </w:rPr>
              <w:t>July 2026</w:t>
            </w:r>
          </w:p>
        </w:tc>
      </w:tr>
      <w:tr w:rsidR="0061040F" w:rsidRPr="00250106" w14:paraId="7E6E39FC" w14:textId="77777777" w:rsidTr="00F947D7">
        <w:tc>
          <w:tcPr>
            <w:tcW w:w="2207"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4B39D915" w14:textId="3A4937C0" w:rsidR="0061040F" w:rsidRDefault="00F947D7" w:rsidP="00BC3430">
            <w:pPr>
              <w:spacing w:before="40" w:after="40"/>
              <w:rPr>
                <w:rFonts w:ascii="Arial" w:hAnsi="Arial" w:cs="Arial"/>
              </w:rPr>
            </w:pPr>
            <w:r>
              <w:rPr>
                <w:rFonts w:ascii="Arial" w:hAnsi="Arial" w:cs="Arial"/>
              </w:rPr>
              <w:t>Knowledge Tags</w:t>
            </w:r>
          </w:p>
        </w:tc>
        <w:tc>
          <w:tcPr>
            <w:tcW w:w="6804" w:type="dxa"/>
            <w:tcBorders>
              <w:top w:val="single" w:sz="4" w:space="0" w:color="C0C0C0"/>
              <w:left w:val="single" w:sz="4" w:space="0" w:color="C0C0C0"/>
              <w:bottom w:val="single" w:sz="4" w:space="0" w:color="C0C0C0"/>
              <w:right w:val="single" w:sz="4" w:space="0" w:color="C0C0C0"/>
            </w:tcBorders>
          </w:tcPr>
          <w:p w14:paraId="0549E1F5" w14:textId="77777777" w:rsidR="0061040F" w:rsidRPr="00326F39" w:rsidRDefault="0061040F" w:rsidP="00BC3430">
            <w:pPr>
              <w:spacing w:before="40" w:after="40"/>
              <w:jc w:val="both"/>
              <w:rPr>
                <w:rFonts w:ascii="Arial" w:hAnsi="Arial" w:cs="Arial"/>
              </w:rPr>
            </w:pPr>
          </w:p>
        </w:tc>
      </w:tr>
    </w:tbl>
    <w:p w14:paraId="65B36B69" w14:textId="1B17DBC8" w:rsidR="0061040F" w:rsidRPr="00250106" w:rsidRDefault="0061040F" w:rsidP="00713BDB">
      <w:pPr>
        <w:pStyle w:val="DocControlHeading"/>
        <w:shd w:val="clear" w:color="auto" w:fill="00A0AF"/>
        <w:spacing w:before="480"/>
        <w:ind w:right="-144"/>
        <w:jc w:val="both"/>
        <w:rPr>
          <w:rFonts w:ascii="Arial" w:hAnsi="Arial"/>
          <w:color w:val="FFFFFF"/>
          <w:sz w:val="22"/>
          <w:szCs w:val="22"/>
        </w:rPr>
      </w:pPr>
      <w:bookmarkStart w:id="7" w:name="_Toc261854772"/>
      <w:bookmarkStart w:id="8" w:name="_Toc261850193"/>
      <w:r w:rsidRPr="00250106">
        <w:rPr>
          <w:rFonts w:ascii="Arial" w:hAnsi="Arial"/>
          <w:color w:val="FFFFFF"/>
          <w:sz w:val="22"/>
          <w:szCs w:val="22"/>
        </w:rPr>
        <w:lastRenderedPageBreak/>
        <w:t>Change Category</w:t>
      </w:r>
      <w:r w:rsidR="00853BEB">
        <w:rPr>
          <w:rFonts w:ascii="Arial" w:hAnsi="Arial"/>
          <w:color w:val="FFFFFF"/>
          <w:sz w:val="22"/>
          <w:szCs w:val="22"/>
        </w:rPr>
        <w:t xml:space="preserve"> (Internal Use ONLY)</w:t>
      </w:r>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6743"/>
        <w:gridCol w:w="2268"/>
      </w:tblGrid>
      <w:tr w:rsidR="0061040F" w:rsidRPr="00250106" w14:paraId="327B3D26" w14:textId="77777777" w:rsidTr="00853BEB">
        <w:trPr>
          <w:tblHeader/>
        </w:trPr>
        <w:tc>
          <w:tcPr>
            <w:tcW w:w="6743"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2F2C8685" w14:textId="76036F3C" w:rsidR="0061040F" w:rsidRPr="00250106" w:rsidRDefault="0061040F" w:rsidP="00F947D7">
            <w:pPr>
              <w:tabs>
                <w:tab w:val="center" w:pos="1812"/>
                <w:tab w:val="right" w:pos="3624"/>
              </w:tabs>
              <w:spacing w:before="40" w:after="40"/>
              <w:jc w:val="both"/>
              <w:rPr>
                <w:rFonts w:ascii="Arial" w:hAnsi="Arial" w:cs="Arial"/>
              </w:rPr>
            </w:pPr>
            <w:r w:rsidRPr="00250106">
              <w:rPr>
                <w:rFonts w:ascii="Arial" w:hAnsi="Arial" w:cs="Arial"/>
              </w:rPr>
              <w:t>Category of Change</w:t>
            </w:r>
            <w:r w:rsidR="00F947D7">
              <w:rPr>
                <w:rFonts w:ascii="Arial" w:hAnsi="Arial" w:cs="Arial"/>
              </w:rPr>
              <w:tab/>
            </w:r>
          </w:p>
        </w:tc>
        <w:tc>
          <w:tcPr>
            <w:tcW w:w="2268"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5A315AF5" w14:textId="77777777" w:rsidR="0061040F" w:rsidRPr="00250106" w:rsidRDefault="0061040F" w:rsidP="00F947D7">
            <w:pPr>
              <w:spacing w:before="40" w:after="40"/>
              <w:rPr>
                <w:rFonts w:ascii="Arial" w:hAnsi="Arial" w:cs="Arial"/>
              </w:rPr>
            </w:pPr>
            <w:r w:rsidRPr="00250106">
              <w:rPr>
                <w:rFonts w:ascii="Arial" w:hAnsi="Arial" w:cs="Arial"/>
              </w:rPr>
              <w:t>Tick Box</w:t>
            </w:r>
          </w:p>
        </w:tc>
      </w:tr>
      <w:tr w:rsidR="0061040F" w:rsidRPr="00250106" w14:paraId="5C2E7A68" w14:textId="77777777" w:rsidTr="00853BEB">
        <w:tc>
          <w:tcPr>
            <w:tcW w:w="6743" w:type="dxa"/>
            <w:tcBorders>
              <w:top w:val="single" w:sz="4" w:space="0" w:color="C0C0C0"/>
              <w:left w:val="single" w:sz="4" w:space="0" w:color="C0C0C0"/>
              <w:bottom w:val="single" w:sz="4" w:space="0" w:color="C0C0C0"/>
              <w:right w:val="single" w:sz="4" w:space="0" w:color="C0C0C0"/>
            </w:tcBorders>
            <w:hideMark/>
          </w:tcPr>
          <w:p w14:paraId="3CE5B3F8" w14:textId="73A29254" w:rsidR="0061040F" w:rsidRPr="00250106" w:rsidRDefault="00F947D7" w:rsidP="00BC3430">
            <w:pPr>
              <w:spacing w:before="40" w:after="40"/>
              <w:rPr>
                <w:rFonts w:ascii="Arial" w:hAnsi="Arial" w:cs="Arial"/>
              </w:rPr>
            </w:pPr>
            <w:r>
              <w:rPr>
                <w:rFonts w:ascii="Arial" w:hAnsi="Arial" w:cs="Arial"/>
              </w:rPr>
              <w:t>Minor Changes (Non-Strategic)</w:t>
            </w:r>
          </w:p>
        </w:tc>
        <w:tc>
          <w:tcPr>
            <w:tcW w:w="2268" w:type="dxa"/>
            <w:tcBorders>
              <w:top w:val="single" w:sz="4" w:space="0" w:color="C0C0C0"/>
              <w:left w:val="single" w:sz="4" w:space="0" w:color="C0C0C0"/>
              <w:bottom w:val="single" w:sz="4" w:space="0" w:color="C0C0C0"/>
              <w:right w:val="single" w:sz="4" w:space="0" w:color="C0C0C0"/>
            </w:tcBorders>
          </w:tcPr>
          <w:p w14:paraId="533610C7" w14:textId="2EFCA7BB" w:rsidR="0061040F" w:rsidRPr="00250106" w:rsidRDefault="003B5633" w:rsidP="00BC3430">
            <w:pPr>
              <w:spacing w:before="40" w:after="40"/>
              <w:jc w:val="center"/>
              <w:rPr>
                <w:rFonts w:ascii="Arial" w:hAnsi="Arial" w:cs="Arial"/>
              </w:rPr>
            </w:pPr>
            <w:r>
              <w:rPr>
                <w:rFonts w:ascii="Arial" w:hAnsi="Arial" w:cs="Arial"/>
              </w:rPr>
              <w:t>x</w:t>
            </w:r>
          </w:p>
        </w:tc>
      </w:tr>
      <w:tr w:rsidR="0061040F" w:rsidRPr="00250106" w14:paraId="103B03C1" w14:textId="77777777" w:rsidTr="00853BEB">
        <w:tc>
          <w:tcPr>
            <w:tcW w:w="6743" w:type="dxa"/>
            <w:tcBorders>
              <w:top w:val="single" w:sz="4" w:space="0" w:color="C0C0C0"/>
              <w:left w:val="single" w:sz="4" w:space="0" w:color="C0C0C0"/>
              <w:bottom w:val="single" w:sz="4" w:space="0" w:color="C0C0C0"/>
              <w:right w:val="single" w:sz="4" w:space="0" w:color="C0C0C0"/>
            </w:tcBorders>
            <w:hideMark/>
          </w:tcPr>
          <w:p w14:paraId="7E1AD8FF" w14:textId="532E1FFA" w:rsidR="0061040F" w:rsidRPr="00250106" w:rsidRDefault="00F947D7" w:rsidP="00BC3430">
            <w:pPr>
              <w:spacing w:before="40" w:after="40"/>
              <w:rPr>
                <w:rFonts w:ascii="Arial" w:hAnsi="Arial" w:cs="Arial"/>
              </w:rPr>
            </w:pPr>
            <w:r>
              <w:rPr>
                <w:rFonts w:ascii="Arial" w:hAnsi="Arial" w:cs="Arial"/>
              </w:rPr>
              <w:t>Major Changes (Re-Write)</w:t>
            </w:r>
          </w:p>
        </w:tc>
        <w:tc>
          <w:tcPr>
            <w:tcW w:w="2268" w:type="dxa"/>
            <w:tcBorders>
              <w:top w:val="single" w:sz="4" w:space="0" w:color="C0C0C0"/>
              <w:left w:val="single" w:sz="4" w:space="0" w:color="C0C0C0"/>
              <w:bottom w:val="single" w:sz="4" w:space="0" w:color="C0C0C0"/>
              <w:right w:val="single" w:sz="4" w:space="0" w:color="C0C0C0"/>
            </w:tcBorders>
          </w:tcPr>
          <w:p w14:paraId="67039A15" w14:textId="77777777" w:rsidR="0061040F" w:rsidRPr="00250106" w:rsidRDefault="0061040F" w:rsidP="00BC3430">
            <w:pPr>
              <w:spacing w:before="40" w:after="40"/>
              <w:jc w:val="center"/>
              <w:rPr>
                <w:rFonts w:ascii="Arial" w:hAnsi="Arial" w:cs="Arial"/>
              </w:rPr>
            </w:pPr>
          </w:p>
        </w:tc>
      </w:tr>
      <w:tr w:rsidR="009840BC" w:rsidRPr="00250106" w14:paraId="3406A96A" w14:textId="77777777" w:rsidTr="009840BC">
        <w:tc>
          <w:tcPr>
            <w:tcW w:w="9011" w:type="dxa"/>
            <w:gridSpan w:val="2"/>
            <w:tcBorders>
              <w:top w:val="single" w:sz="4" w:space="0" w:color="C0C0C0"/>
              <w:left w:val="single" w:sz="4" w:space="0" w:color="C0C0C0"/>
              <w:bottom w:val="single" w:sz="4" w:space="0" w:color="C0C0C0"/>
              <w:right w:val="single" w:sz="4" w:space="0" w:color="C0C0C0"/>
            </w:tcBorders>
            <w:shd w:val="clear" w:color="auto" w:fill="E7E6E6" w:themeFill="background2"/>
          </w:tcPr>
          <w:p w14:paraId="430BBAB6" w14:textId="7BEA7E40" w:rsidR="009840BC" w:rsidRPr="00250106" w:rsidRDefault="00F947D7" w:rsidP="009840BC">
            <w:pPr>
              <w:spacing w:before="40" w:after="40"/>
              <w:rPr>
                <w:rFonts w:ascii="Arial" w:hAnsi="Arial" w:cs="Arial"/>
              </w:rPr>
            </w:pPr>
            <w:r>
              <w:rPr>
                <w:rFonts w:ascii="Arial" w:hAnsi="Arial" w:cs="Arial"/>
              </w:rPr>
              <w:t>Summary of Changes Made</w:t>
            </w:r>
          </w:p>
        </w:tc>
      </w:tr>
      <w:tr w:rsidR="009840BC" w:rsidRPr="00250106" w14:paraId="13E7FFB4" w14:textId="77777777" w:rsidTr="00BE15C1">
        <w:tc>
          <w:tcPr>
            <w:tcW w:w="9011" w:type="dxa"/>
            <w:gridSpan w:val="2"/>
            <w:tcBorders>
              <w:top w:val="single" w:sz="4" w:space="0" w:color="C0C0C0"/>
              <w:left w:val="single" w:sz="4" w:space="0" w:color="C0C0C0"/>
              <w:bottom w:val="single" w:sz="4" w:space="0" w:color="C0C0C0"/>
              <w:right w:val="single" w:sz="4" w:space="0" w:color="C0C0C0"/>
            </w:tcBorders>
          </w:tcPr>
          <w:p w14:paraId="7E9E246A" w14:textId="77777777" w:rsidR="009840BC" w:rsidRPr="00250106" w:rsidRDefault="009840BC" w:rsidP="009840BC">
            <w:pPr>
              <w:spacing w:before="40" w:after="40"/>
              <w:rPr>
                <w:rFonts w:ascii="Arial" w:hAnsi="Arial" w:cs="Arial"/>
              </w:rPr>
            </w:pPr>
          </w:p>
        </w:tc>
      </w:tr>
    </w:tbl>
    <w:p w14:paraId="46496658" w14:textId="7D57386E" w:rsidR="0061040F" w:rsidRPr="00250106" w:rsidRDefault="0061040F" w:rsidP="00713BDB">
      <w:pPr>
        <w:pStyle w:val="DocControlHeading"/>
        <w:shd w:val="clear" w:color="auto" w:fill="00A0AF"/>
        <w:spacing w:before="480"/>
        <w:ind w:right="-144"/>
        <w:jc w:val="both"/>
        <w:rPr>
          <w:rFonts w:ascii="Arial" w:hAnsi="Arial"/>
          <w:color w:val="FFFFFF"/>
          <w:sz w:val="22"/>
          <w:szCs w:val="22"/>
        </w:rPr>
      </w:pPr>
      <w:r w:rsidRPr="00250106">
        <w:rPr>
          <w:rFonts w:ascii="Arial" w:hAnsi="Arial"/>
          <w:color w:val="FFFFFF"/>
          <w:sz w:val="22"/>
          <w:szCs w:val="22"/>
        </w:rPr>
        <w:t>Quality Assurance</w:t>
      </w:r>
      <w:r>
        <w:rPr>
          <w:rFonts w:ascii="Arial" w:hAnsi="Arial"/>
          <w:color w:val="FFFFFF"/>
          <w:sz w:val="22"/>
          <w:szCs w:val="22"/>
        </w:rPr>
        <w:t xml:space="preserve"> and Approval </w:t>
      </w:r>
      <w:bookmarkEnd w:id="7"/>
      <w:bookmarkEnd w:id="8"/>
      <w:r w:rsidR="00853BEB">
        <w:rPr>
          <w:rFonts w:ascii="Arial" w:hAnsi="Arial"/>
          <w:color w:val="FFFFFF"/>
          <w:sz w:val="22"/>
          <w:szCs w:val="22"/>
        </w:rPr>
        <w:t>(Internal Use ONLY)</w:t>
      </w:r>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6743"/>
        <w:gridCol w:w="1134"/>
        <w:gridCol w:w="1134"/>
      </w:tblGrid>
      <w:tr w:rsidR="0061040F" w:rsidRPr="00250106" w14:paraId="008D37A5" w14:textId="77777777" w:rsidTr="00F947D7">
        <w:trPr>
          <w:tblHeader/>
        </w:trPr>
        <w:tc>
          <w:tcPr>
            <w:tcW w:w="6743"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08E82287" w14:textId="77777777" w:rsidR="0061040F" w:rsidRPr="00250106" w:rsidRDefault="0061040F" w:rsidP="00F947D7">
            <w:pPr>
              <w:spacing w:before="40" w:after="40"/>
              <w:rPr>
                <w:rFonts w:ascii="Arial" w:hAnsi="Arial" w:cs="Arial"/>
              </w:rPr>
            </w:pPr>
            <w:r>
              <w:rPr>
                <w:rFonts w:ascii="Arial" w:hAnsi="Arial" w:cs="Arial"/>
              </w:rPr>
              <w:t xml:space="preserve">Consultation and Approval </w:t>
            </w:r>
          </w:p>
        </w:tc>
        <w:tc>
          <w:tcPr>
            <w:tcW w:w="1134" w:type="dxa"/>
            <w:tcBorders>
              <w:top w:val="single" w:sz="4" w:space="0" w:color="C0C0C0"/>
              <w:left w:val="single" w:sz="4" w:space="0" w:color="C0C0C0"/>
              <w:bottom w:val="single" w:sz="4" w:space="0" w:color="C0C0C0"/>
              <w:right w:val="single" w:sz="4" w:space="0" w:color="C0C0C0"/>
            </w:tcBorders>
            <w:shd w:val="clear" w:color="auto" w:fill="E7E6E6" w:themeFill="background2"/>
            <w:hideMark/>
          </w:tcPr>
          <w:p w14:paraId="4C813F61" w14:textId="77777777" w:rsidR="0061040F" w:rsidRPr="00250106" w:rsidRDefault="0061040F" w:rsidP="00F947D7">
            <w:pPr>
              <w:spacing w:before="40" w:after="40"/>
              <w:rPr>
                <w:rFonts w:ascii="Arial" w:hAnsi="Arial" w:cs="Arial"/>
              </w:rPr>
            </w:pPr>
            <w:r w:rsidRPr="00250106">
              <w:rPr>
                <w:rFonts w:ascii="Arial" w:hAnsi="Arial" w:cs="Arial"/>
              </w:rPr>
              <w:t>Tick Box</w:t>
            </w:r>
          </w:p>
        </w:tc>
        <w:tc>
          <w:tcPr>
            <w:tcW w:w="1134" w:type="dxa"/>
            <w:tcBorders>
              <w:top w:val="single" w:sz="4" w:space="0" w:color="C0C0C0"/>
              <w:left w:val="single" w:sz="4" w:space="0" w:color="C0C0C0"/>
              <w:bottom w:val="single" w:sz="4" w:space="0" w:color="C0C0C0"/>
              <w:right w:val="single" w:sz="4" w:space="0" w:color="C0C0C0"/>
            </w:tcBorders>
            <w:shd w:val="clear" w:color="auto" w:fill="E7E6E6" w:themeFill="background2"/>
          </w:tcPr>
          <w:p w14:paraId="156937C5" w14:textId="77777777" w:rsidR="0061040F" w:rsidRPr="00250106" w:rsidRDefault="0061040F" w:rsidP="00F947D7">
            <w:pPr>
              <w:spacing w:before="40" w:after="40"/>
              <w:rPr>
                <w:rFonts w:ascii="Arial" w:hAnsi="Arial" w:cs="Arial"/>
              </w:rPr>
            </w:pPr>
            <w:r>
              <w:rPr>
                <w:rFonts w:ascii="Arial" w:hAnsi="Arial" w:cs="Arial"/>
              </w:rPr>
              <w:t>Date</w:t>
            </w:r>
          </w:p>
        </w:tc>
      </w:tr>
      <w:tr w:rsidR="009840BC" w:rsidRPr="00250106" w14:paraId="324C669B" w14:textId="77777777" w:rsidTr="00F947D7">
        <w:tc>
          <w:tcPr>
            <w:tcW w:w="6743" w:type="dxa"/>
            <w:tcBorders>
              <w:top w:val="single" w:sz="4" w:space="0" w:color="C0C0C0"/>
              <w:left w:val="single" w:sz="4" w:space="0" w:color="C0C0C0"/>
              <w:bottom w:val="single" w:sz="4" w:space="0" w:color="C0C0C0"/>
              <w:right w:val="single" w:sz="4" w:space="0" w:color="C0C0C0"/>
            </w:tcBorders>
          </w:tcPr>
          <w:p w14:paraId="449C5576" w14:textId="77777777" w:rsidR="009840BC" w:rsidRDefault="009840BC" w:rsidP="00BC3430">
            <w:pPr>
              <w:spacing w:before="40" w:after="40"/>
              <w:rPr>
                <w:rFonts w:ascii="Arial" w:hAnsi="Arial" w:cs="Arial"/>
              </w:rPr>
            </w:pPr>
            <w:r>
              <w:rPr>
                <w:rFonts w:ascii="Arial" w:hAnsi="Arial" w:cs="Arial"/>
              </w:rPr>
              <w:t>Associated Documents Reviewed</w:t>
            </w:r>
          </w:p>
        </w:tc>
        <w:tc>
          <w:tcPr>
            <w:tcW w:w="1134" w:type="dxa"/>
            <w:tcBorders>
              <w:top w:val="single" w:sz="4" w:space="0" w:color="C0C0C0"/>
              <w:left w:val="single" w:sz="4" w:space="0" w:color="C0C0C0"/>
              <w:bottom w:val="single" w:sz="4" w:space="0" w:color="C0C0C0"/>
              <w:right w:val="single" w:sz="4" w:space="0" w:color="C0C0C0"/>
            </w:tcBorders>
          </w:tcPr>
          <w:p w14:paraId="3C876344" w14:textId="77777777" w:rsidR="009840BC" w:rsidRPr="00250106" w:rsidRDefault="009840BC" w:rsidP="00BC3430">
            <w:pPr>
              <w:spacing w:before="40" w:after="40"/>
              <w:jc w:val="center"/>
              <w:rPr>
                <w:rFonts w:ascii="Arial" w:hAnsi="Arial" w:cs="Arial"/>
              </w:rPr>
            </w:pPr>
          </w:p>
        </w:tc>
        <w:tc>
          <w:tcPr>
            <w:tcW w:w="1134" w:type="dxa"/>
            <w:tcBorders>
              <w:top w:val="single" w:sz="4" w:space="0" w:color="C0C0C0"/>
              <w:left w:val="single" w:sz="4" w:space="0" w:color="C0C0C0"/>
              <w:bottom w:val="single" w:sz="4" w:space="0" w:color="C0C0C0"/>
              <w:right w:val="single" w:sz="4" w:space="0" w:color="C0C0C0"/>
            </w:tcBorders>
          </w:tcPr>
          <w:p w14:paraId="30F7ED03" w14:textId="77777777" w:rsidR="009840BC" w:rsidRPr="00250106" w:rsidRDefault="009840BC" w:rsidP="00BC3430">
            <w:pPr>
              <w:spacing w:before="40" w:after="40"/>
              <w:jc w:val="center"/>
              <w:rPr>
                <w:rFonts w:ascii="Arial" w:hAnsi="Arial" w:cs="Arial"/>
              </w:rPr>
            </w:pPr>
          </w:p>
        </w:tc>
      </w:tr>
      <w:tr w:rsidR="0061040F" w:rsidRPr="00250106" w14:paraId="2E1DDA53" w14:textId="77777777" w:rsidTr="00F947D7">
        <w:tc>
          <w:tcPr>
            <w:tcW w:w="6743" w:type="dxa"/>
            <w:tcBorders>
              <w:top w:val="single" w:sz="4" w:space="0" w:color="C0C0C0"/>
              <w:left w:val="single" w:sz="4" w:space="0" w:color="C0C0C0"/>
              <w:bottom w:val="single" w:sz="4" w:space="0" w:color="C0C0C0"/>
              <w:right w:val="single" w:sz="4" w:space="0" w:color="C0C0C0"/>
            </w:tcBorders>
          </w:tcPr>
          <w:p w14:paraId="54AE050C" w14:textId="64C39DEB" w:rsidR="00F947D7" w:rsidRDefault="00BA3C4B" w:rsidP="00BA3C4B">
            <w:pPr>
              <w:spacing w:before="40" w:after="40"/>
              <w:rPr>
                <w:rFonts w:ascii="Arial" w:hAnsi="Arial" w:cs="Arial"/>
              </w:rPr>
            </w:pPr>
            <w:r>
              <w:rPr>
                <w:rFonts w:ascii="Arial" w:hAnsi="Arial" w:cs="Arial"/>
              </w:rPr>
              <w:t>Consul</w:t>
            </w:r>
            <w:r w:rsidR="00F947D7">
              <w:rPr>
                <w:rFonts w:ascii="Arial" w:hAnsi="Arial" w:cs="Arial"/>
              </w:rPr>
              <w:t>t</w:t>
            </w:r>
            <w:r>
              <w:rPr>
                <w:rFonts w:ascii="Arial" w:hAnsi="Arial" w:cs="Arial"/>
              </w:rPr>
              <w:t>ees:</w:t>
            </w:r>
          </w:p>
          <w:p w14:paraId="66625AF6" w14:textId="77777777" w:rsidR="004E2949" w:rsidRDefault="004E2949" w:rsidP="004E2949">
            <w:pPr>
              <w:spacing w:before="40" w:after="40"/>
              <w:rPr>
                <w:rFonts w:ascii="Arial" w:hAnsi="Arial" w:cs="Arial"/>
                <w:iCs/>
                <w:sz w:val="24"/>
                <w:szCs w:val="24"/>
              </w:rPr>
            </w:pPr>
            <w:r w:rsidRPr="003318EE">
              <w:rPr>
                <w:rFonts w:ascii="Arial" w:hAnsi="Arial" w:cs="Arial"/>
                <w:iCs/>
                <w:sz w:val="24"/>
                <w:szCs w:val="24"/>
              </w:rPr>
              <w:t>RCVE</w:t>
            </w:r>
          </w:p>
          <w:p w14:paraId="664878F0" w14:textId="77777777" w:rsidR="004E2949" w:rsidRDefault="004E2949" w:rsidP="004E2949">
            <w:pPr>
              <w:spacing w:before="40" w:after="40"/>
              <w:rPr>
                <w:rFonts w:ascii="Arial" w:hAnsi="Arial" w:cs="Arial"/>
                <w:iCs/>
                <w:sz w:val="24"/>
                <w:szCs w:val="24"/>
              </w:rPr>
            </w:pPr>
            <w:r>
              <w:rPr>
                <w:rFonts w:ascii="Arial" w:hAnsi="Arial" w:cs="Arial"/>
                <w:iCs/>
                <w:sz w:val="24"/>
                <w:szCs w:val="24"/>
              </w:rPr>
              <w:t>OHG Residents Panels</w:t>
            </w:r>
          </w:p>
          <w:p w14:paraId="05548CC5" w14:textId="77777777" w:rsidR="004E2949" w:rsidRPr="003318EE" w:rsidRDefault="004E2949" w:rsidP="004E2949">
            <w:pPr>
              <w:spacing w:before="40" w:after="40"/>
              <w:rPr>
                <w:rFonts w:ascii="Arial" w:hAnsi="Arial" w:cs="Arial"/>
                <w:iCs/>
                <w:sz w:val="24"/>
                <w:szCs w:val="24"/>
              </w:rPr>
            </w:pPr>
            <w:r>
              <w:rPr>
                <w:rFonts w:ascii="Arial" w:hAnsi="Arial" w:cs="Arial"/>
                <w:iCs/>
                <w:sz w:val="24"/>
                <w:szCs w:val="24"/>
              </w:rPr>
              <w:t>OHG Homeowner Forum</w:t>
            </w:r>
          </w:p>
          <w:p w14:paraId="0ED2B5B1" w14:textId="77777777" w:rsidR="00075FBA" w:rsidRPr="003318EE" w:rsidRDefault="00075FBA" w:rsidP="00075FBA">
            <w:pPr>
              <w:spacing w:before="40" w:after="40"/>
              <w:rPr>
                <w:rFonts w:ascii="Arial" w:hAnsi="Arial" w:cs="Arial"/>
                <w:iCs/>
                <w:sz w:val="24"/>
                <w:szCs w:val="24"/>
              </w:rPr>
            </w:pPr>
            <w:r w:rsidRPr="003318EE">
              <w:rPr>
                <w:rFonts w:ascii="Arial" w:hAnsi="Arial" w:cs="Arial"/>
                <w:iCs/>
                <w:sz w:val="24"/>
                <w:szCs w:val="24"/>
              </w:rPr>
              <w:t>Social Housing</w:t>
            </w:r>
          </w:p>
          <w:p w14:paraId="674299AA" w14:textId="77777777" w:rsidR="00075FBA" w:rsidRDefault="00075FBA" w:rsidP="00075FBA">
            <w:pPr>
              <w:spacing w:before="40" w:after="40"/>
              <w:rPr>
                <w:rFonts w:ascii="Arial" w:hAnsi="Arial" w:cs="Arial"/>
                <w:iCs/>
                <w:sz w:val="24"/>
                <w:szCs w:val="24"/>
              </w:rPr>
            </w:pPr>
            <w:r w:rsidRPr="003318EE">
              <w:rPr>
                <w:rFonts w:ascii="Arial" w:hAnsi="Arial" w:cs="Arial"/>
                <w:iCs/>
                <w:sz w:val="24"/>
                <w:szCs w:val="24"/>
              </w:rPr>
              <w:t>RHO</w:t>
            </w:r>
          </w:p>
          <w:p w14:paraId="7518B2AC" w14:textId="7542F247" w:rsidR="00401283" w:rsidRDefault="00075FBA" w:rsidP="004E2949">
            <w:pPr>
              <w:spacing w:before="40" w:after="40"/>
              <w:rPr>
                <w:rFonts w:ascii="Arial" w:hAnsi="Arial" w:cs="Arial"/>
                <w:iCs/>
                <w:sz w:val="24"/>
                <w:szCs w:val="24"/>
              </w:rPr>
            </w:pPr>
            <w:r>
              <w:rPr>
                <w:rFonts w:ascii="Arial" w:hAnsi="Arial" w:cs="Arial"/>
                <w:iCs/>
                <w:sz w:val="24"/>
                <w:szCs w:val="24"/>
              </w:rPr>
              <w:t>Care &amp; Support</w:t>
            </w:r>
          </w:p>
          <w:p w14:paraId="46B8C21C" w14:textId="5AB88D7C" w:rsidR="00075FBA" w:rsidRPr="003318EE" w:rsidRDefault="004E2949" w:rsidP="004E2949">
            <w:pPr>
              <w:spacing w:before="40" w:after="40"/>
              <w:rPr>
                <w:rFonts w:ascii="Arial" w:hAnsi="Arial" w:cs="Arial"/>
                <w:iCs/>
                <w:sz w:val="24"/>
                <w:szCs w:val="24"/>
              </w:rPr>
            </w:pPr>
            <w:r w:rsidRPr="003318EE">
              <w:rPr>
                <w:rFonts w:ascii="Arial" w:hAnsi="Arial" w:cs="Arial"/>
                <w:iCs/>
                <w:sz w:val="24"/>
                <w:szCs w:val="24"/>
              </w:rPr>
              <w:t>Income Management</w:t>
            </w:r>
          </w:p>
          <w:p w14:paraId="31B2F304" w14:textId="47CD978D" w:rsidR="00075FBA" w:rsidRPr="003318EE" w:rsidRDefault="00075FBA" w:rsidP="004E2949">
            <w:pPr>
              <w:spacing w:before="40" w:after="40"/>
              <w:rPr>
                <w:rFonts w:ascii="Arial" w:hAnsi="Arial" w:cs="Arial"/>
                <w:iCs/>
                <w:sz w:val="24"/>
                <w:szCs w:val="24"/>
              </w:rPr>
            </w:pPr>
            <w:r>
              <w:rPr>
                <w:rFonts w:ascii="Arial" w:hAnsi="Arial" w:cs="Arial"/>
                <w:iCs/>
                <w:sz w:val="24"/>
                <w:szCs w:val="24"/>
              </w:rPr>
              <w:t>Finance</w:t>
            </w:r>
          </w:p>
          <w:p w14:paraId="1691296D" w14:textId="77777777" w:rsidR="004E2949" w:rsidRPr="003318EE" w:rsidRDefault="004E2949" w:rsidP="004E2949">
            <w:pPr>
              <w:spacing w:before="40" w:after="40"/>
              <w:rPr>
                <w:rFonts w:ascii="Arial" w:hAnsi="Arial" w:cs="Arial"/>
                <w:iCs/>
                <w:sz w:val="24"/>
                <w:szCs w:val="24"/>
              </w:rPr>
            </w:pPr>
            <w:r w:rsidRPr="003318EE">
              <w:rPr>
                <w:rFonts w:ascii="Arial" w:hAnsi="Arial" w:cs="Arial"/>
                <w:iCs/>
                <w:sz w:val="24"/>
                <w:szCs w:val="24"/>
              </w:rPr>
              <w:t xml:space="preserve">Development </w:t>
            </w:r>
          </w:p>
          <w:p w14:paraId="59EEFEDB" w14:textId="2EBAD267" w:rsidR="004E2949" w:rsidRDefault="004E2949" w:rsidP="004E2949">
            <w:pPr>
              <w:spacing w:before="40" w:after="40"/>
              <w:rPr>
                <w:rFonts w:ascii="Arial" w:hAnsi="Arial" w:cs="Arial"/>
                <w:iCs/>
                <w:sz w:val="24"/>
                <w:szCs w:val="24"/>
              </w:rPr>
            </w:pPr>
            <w:r w:rsidRPr="003318EE">
              <w:rPr>
                <w:rFonts w:ascii="Arial" w:hAnsi="Arial" w:cs="Arial"/>
                <w:iCs/>
                <w:sz w:val="24"/>
                <w:szCs w:val="24"/>
              </w:rPr>
              <w:t>Lettings</w:t>
            </w:r>
          </w:p>
          <w:p w14:paraId="38090BF8" w14:textId="6F53A845" w:rsidR="00576B21" w:rsidRPr="007877B7" w:rsidRDefault="004E2949" w:rsidP="004E2949">
            <w:pPr>
              <w:spacing w:before="40" w:after="40"/>
              <w:rPr>
                <w:rFonts w:ascii="Arial" w:hAnsi="Arial" w:cs="Arial"/>
                <w:iCs/>
                <w:sz w:val="24"/>
                <w:szCs w:val="24"/>
              </w:rPr>
            </w:pPr>
            <w:r>
              <w:rPr>
                <w:rFonts w:ascii="Arial" w:hAnsi="Arial" w:cs="Arial"/>
                <w:iCs/>
                <w:sz w:val="24"/>
                <w:szCs w:val="24"/>
              </w:rPr>
              <w:t>Asset Services</w:t>
            </w:r>
          </w:p>
        </w:tc>
        <w:tc>
          <w:tcPr>
            <w:tcW w:w="1134" w:type="dxa"/>
            <w:tcBorders>
              <w:top w:val="single" w:sz="4" w:space="0" w:color="C0C0C0"/>
              <w:left w:val="single" w:sz="4" w:space="0" w:color="C0C0C0"/>
              <w:bottom w:val="single" w:sz="4" w:space="0" w:color="C0C0C0"/>
              <w:right w:val="single" w:sz="4" w:space="0" w:color="C0C0C0"/>
            </w:tcBorders>
          </w:tcPr>
          <w:p w14:paraId="589A55C8" w14:textId="77777777" w:rsidR="0061040F" w:rsidRDefault="0061040F" w:rsidP="00BC3430">
            <w:pPr>
              <w:spacing w:before="40" w:after="40"/>
              <w:jc w:val="center"/>
              <w:rPr>
                <w:rFonts w:ascii="Arial" w:hAnsi="Arial" w:cs="Arial"/>
              </w:rPr>
            </w:pPr>
          </w:p>
          <w:p w14:paraId="216EB0B7" w14:textId="3592F78A" w:rsidR="004E2949" w:rsidRDefault="00D94485" w:rsidP="00BC3430">
            <w:pPr>
              <w:spacing w:before="40" w:after="40"/>
              <w:jc w:val="center"/>
              <w:rPr>
                <w:rFonts w:ascii="Arial" w:hAnsi="Arial" w:cs="Arial"/>
              </w:rPr>
            </w:pPr>
            <w:r>
              <w:rPr>
                <w:rFonts w:ascii="Arial" w:hAnsi="Arial" w:cs="Arial"/>
              </w:rPr>
              <w:t>X</w:t>
            </w:r>
          </w:p>
          <w:p w14:paraId="4B933F09" w14:textId="1A608586" w:rsidR="00D94485" w:rsidRDefault="00D94485" w:rsidP="00BC3430">
            <w:pPr>
              <w:spacing w:before="40" w:after="40"/>
              <w:jc w:val="center"/>
              <w:rPr>
                <w:rFonts w:ascii="Arial" w:hAnsi="Arial" w:cs="Arial"/>
              </w:rPr>
            </w:pPr>
            <w:r>
              <w:rPr>
                <w:rFonts w:ascii="Arial" w:hAnsi="Arial" w:cs="Arial"/>
              </w:rPr>
              <w:t>X</w:t>
            </w:r>
          </w:p>
          <w:p w14:paraId="31AFA1EA" w14:textId="61E8FA76" w:rsidR="00D94485" w:rsidRDefault="00D94485" w:rsidP="00BC3430">
            <w:pPr>
              <w:spacing w:before="40" w:after="40"/>
              <w:jc w:val="center"/>
              <w:rPr>
                <w:rFonts w:ascii="Arial" w:hAnsi="Arial" w:cs="Arial"/>
              </w:rPr>
            </w:pPr>
            <w:r>
              <w:rPr>
                <w:rFonts w:ascii="Arial" w:hAnsi="Arial" w:cs="Arial"/>
              </w:rPr>
              <w:t>X</w:t>
            </w:r>
          </w:p>
          <w:p w14:paraId="3915ECEB" w14:textId="309DC3A8" w:rsidR="00D94485" w:rsidRDefault="00D94485" w:rsidP="00BC3430">
            <w:pPr>
              <w:spacing w:before="40" w:after="40"/>
              <w:jc w:val="center"/>
              <w:rPr>
                <w:rFonts w:ascii="Arial" w:hAnsi="Arial" w:cs="Arial"/>
              </w:rPr>
            </w:pPr>
            <w:r>
              <w:rPr>
                <w:rFonts w:ascii="Arial" w:hAnsi="Arial" w:cs="Arial"/>
              </w:rPr>
              <w:t>X</w:t>
            </w:r>
          </w:p>
          <w:p w14:paraId="15C5CB8C" w14:textId="0DF2E446" w:rsidR="00D94485" w:rsidRDefault="00D94485" w:rsidP="00BC3430">
            <w:pPr>
              <w:spacing w:before="40" w:after="40"/>
              <w:jc w:val="center"/>
              <w:rPr>
                <w:rFonts w:ascii="Arial" w:hAnsi="Arial" w:cs="Arial"/>
              </w:rPr>
            </w:pPr>
            <w:r>
              <w:rPr>
                <w:rFonts w:ascii="Arial" w:hAnsi="Arial" w:cs="Arial"/>
              </w:rPr>
              <w:t>X</w:t>
            </w:r>
          </w:p>
          <w:p w14:paraId="1F2D2290" w14:textId="3B1C6CBD" w:rsidR="00D94485" w:rsidRDefault="00D94485" w:rsidP="00BC3430">
            <w:pPr>
              <w:spacing w:before="40" w:after="40"/>
              <w:jc w:val="center"/>
              <w:rPr>
                <w:rFonts w:ascii="Arial" w:hAnsi="Arial" w:cs="Arial"/>
              </w:rPr>
            </w:pPr>
            <w:r>
              <w:rPr>
                <w:rFonts w:ascii="Arial" w:hAnsi="Arial" w:cs="Arial"/>
              </w:rPr>
              <w:t>X</w:t>
            </w:r>
          </w:p>
          <w:p w14:paraId="3FF0D701" w14:textId="47AD168E" w:rsidR="00D94485" w:rsidRDefault="00D94485" w:rsidP="00BC3430">
            <w:pPr>
              <w:spacing w:before="40" w:after="40"/>
              <w:jc w:val="center"/>
              <w:rPr>
                <w:rFonts w:ascii="Arial" w:hAnsi="Arial" w:cs="Arial"/>
              </w:rPr>
            </w:pPr>
            <w:r>
              <w:rPr>
                <w:rFonts w:ascii="Arial" w:hAnsi="Arial" w:cs="Arial"/>
              </w:rPr>
              <w:t>X</w:t>
            </w:r>
          </w:p>
          <w:p w14:paraId="24516FBF" w14:textId="143387ED" w:rsidR="00D94485" w:rsidRDefault="00D94485" w:rsidP="00BC3430">
            <w:pPr>
              <w:spacing w:before="40" w:after="40"/>
              <w:jc w:val="center"/>
              <w:rPr>
                <w:rFonts w:ascii="Arial" w:hAnsi="Arial" w:cs="Arial"/>
              </w:rPr>
            </w:pPr>
            <w:r>
              <w:rPr>
                <w:rFonts w:ascii="Arial" w:hAnsi="Arial" w:cs="Arial"/>
              </w:rPr>
              <w:t>X</w:t>
            </w:r>
          </w:p>
          <w:p w14:paraId="057A6942" w14:textId="51FC6D30" w:rsidR="00D94485" w:rsidRDefault="00D94485" w:rsidP="00BC3430">
            <w:pPr>
              <w:spacing w:before="40" w:after="40"/>
              <w:jc w:val="center"/>
              <w:rPr>
                <w:rFonts w:ascii="Arial" w:hAnsi="Arial" w:cs="Arial"/>
              </w:rPr>
            </w:pPr>
            <w:r>
              <w:rPr>
                <w:rFonts w:ascii="Arial" w:hAnsi="Arial" w:cs="Arial"/>
              </w:rPr>
              <w:t>X</w:t>
            </w:r>
          </w:p>
          <w:p w14:paraId="7E4F265B" w14:textId="5B5FDD93" w:rsidR="00D94485" w:rsidRDefault="00D94485" w:rsidP="00BC3430">
            <w:pPr>
              <w:spacing w:before="40" w:after="40"/>
              <w:jc w:val="center"/>
              <w:rPr>
                <w:rFonts w:ascii="Arial" w:hAnsi="Arial" w:cs="Arial"/>
              </w:rPr>
            </w:pPr>
            <w:r>
              <w:rPr>
                <w:rFonts w:ascii="Arial" w:hAnsi="Arial" w:cs="Arial"/>
              </w:rPr>
              <w:t>X</w:t>
            </w:r>
          </w:p>
          <w:p w14:paraId="06393627" w14:textId="77777777" w:rsidR="00D94485" w:rsidRDefault="00D94485" w:rsidP="00D94485">
            <w:pPr>
              <w:spacing w:before="40" w:after="40"/>
              <w:jc w:val="center"/>
              <w:rPr>
                <w:rFonts w:ascii="Arial" w:hAnsi="Arial" w:cs="Arial"/>
              </w:rPr>
            </w:pPr>
            <w:r>
              <w:rPr>
                <w:rFonts w:ascii="Arial" w:hAnsi="Arial" w:cs="Arial"/>
              </w:rPr>
              <w:t>X</w:t>
            </w:r>
          </w:p>
          <w:p w14:paraId="4E1D03C2" w14:textId="2E6B4028" w:rsidR="007877B7" w:rsidRPr="00250106" w:rsidRDefault="007877B7" w:rsidP="00D94485">
            <w:pPr>
              <w:spacing w:before="40" w:after="40"/>
              <w:jc w:val="center"/>
              <w:rPr>
                <w:rFonts w:ascii="Arial" w:hAnsi="Arial" w:cs="Arial"/>
              </w:rPr>
            </w:pPr>
            <w:r>
              <w:rPr>
                <w:rFonts w:ascii="Arial" w:hAnsi="Arial" w:cs="Arial"/>
              </w:rPr>
              <w:t>X</w:t>
            </w:r>
          </w:p>
        </w:tc>
        <w:tc>
          <w:tcPr>
            <w:tcW w:w="1134" w:type="dxa"/>
            <w:tcBorders>
              <w:top w:val="single" w:sz="4" w:space="0" w:color="C0C0C0"/>
              <w:left w:val="single" w:sz="4" w:space="0" w:color="C0C0C0"/>
              <w:bottom w:val="single" w:sz="4" w:space="0" w:color="C0C0C0"/>
              <w:right w:val="single" w:sz="4" w:space="0" w:color="C0C0C0"/>
            </w:tcBorders>
          </w:tcPr>
          <w:p w14:paraId="69B78B66" w14:textId="092F2921" w:rsidR="000519DC" w:rsidRDefault="007877B7" w:rsidP="00BC3430">
            <w:pPr>
              <w:spacing w:before="40" w:after="40"/>
              <w:jc w:val="center"/>
              <w:rPr>
                <w:rFonts w:ascii="Arial" w:hAnsi="Arial" w:cs="Arial"/>
              </w:rPr>
            </w:pPr>
            <w:r>
              <w:rPr>
                <w:rFonts w:ascii="Arial" w:hAnsi="Arial" w:cs="Arial"/>
              </w:rPr>
              <w:t>May 2024</w:t>
            </w:r>
          </w:p>
          <w:p w14:paraId="4A25FB13" w14:textId="3662657A" w:rsidR="009C5B79" w:rsidRPr="00250106" w:rsidRDefault="009C5B79" w:rsidP="00BC3430">
            <w:pPr>
              <w:spacing w:before="40" w:after="40"/>
              <w:jc w:val="center"/>
              <w:rPr>
                <w:rFonts w:ascii="Arial" w:hAnsi="Arial" w:cs="Arial"/>
              </w:rPr>
            </w:pPr>
          </w:p>
        </w:tc>
      </w:tr>
      <w:tr w:rsidR="000D42F0" w:rsidRPr="00250106" w14:paraId="3A88055F" w14:textId="77777777" w:rsidTr="00F947D7">
        <w:trPr>
          <w:trHeight w:val="175"/>
        </w:trPr>
        <w:tc>
          <w:tcPr>
            <w:tcW w:w="6743" w:type="dxa"/>
            <w:tcBorders>
              <w:top w:val="single" w:sz="4" w:space="0" w:color="C0C0C0"/>
              <w:left w:val="single" w:sz="4" w:space="0" w:color="C0C0C0"/>
              <w:bottom w:val="single" w:sz="4" w:space="0" w:color="C0C0C0"/>
              <w:right w:val="single" w:sz="4" w:space="0" w:color="C0C0C0"/>
            </w:tcBorders>
          </w:tcPr>
          <w:p w14:paraId="6DDE90F1" w14:textId="1140D5CB" w:rsidR="000D42F0" w:rsidRDefault="000D42F0" w:rsidP="001D0391">
            <w:pPr>
              <w:spacing w:before="40" w:after="40"/>
              <w:rPr>
                <w:rFonts w:ascii="Arial" w:hAnsi="Arial" w:cs="Arial"/>
              </w:rPr>
            </w:pPr>
            <w:r>
              <w:rPr>
                <w:rFonts w:ascii="Arial" w:hAnsi="Arial" w:cs="Arial"/>
              </w:rPr>
              <w:t xml:space="preserve">EIA </w:t>
            </w:r>
            <w:r w:rsidR="001D0391">
              <w:rPr>
                <w:rFonts w:ascii="Arial" w:hAnsi="Arial" w:cs="Arial"/>
              </w:rPr>
              <w:t>complete and submitted with policy for approval</w:t>
            </w:r>
          </w:p>
        </w:tc>
        <w:tc>
          <w:tcPr>
            <w:tcW w:w="1134" w:type="dxa"/>
            <w:tcBorders>
              <w:top w:val="single" w:sz="4" w:space="0" w:color="C0C0C0"/>
              <w:left w:val="single" w:sz="4" w:space="0" w:color="C0C0C0"/>
              <w:bottom w:val="single" w:sz="4" w:space="0" w:color="C0C0C0"/>
              <w:right w:val="single" w:sz="4" w:space="0" w:color="C0C0C0"/>
            </w:tcBorders>
          </w:tcPr>
          <w:p w14:paraId="0E6B5182" w14:textId="4392CC6B" w:rsidR="000D42F0" w:rsidRPr="00250106" w:rsidRDefault="00A477F8" w:rsidP="00BC3430">
            <w:pPr>
              <w:spacing w:before="40" w:after="40"/>
              <w:jc w:val="center"/>
              <w:rPr>
                <w:rFonts w:ascii="Arial" w:hAnsi="Arial" w:cs="Arial"/>
              </w:rPr>
            </w:pPr>
            <w:r>
              <w:rPr>
                <w:rFonts w:ascii="Arial" w:hAnsi="Arial" w:cs="Arial"/>
              </w:rPr>
              <w:t>X</w:t>
            </w:r>
          </w:p>
        </w:tc>
        <w:tc>
          <w:tcPr>
            <w:tcW w:w="1134" w:type="dxa"/>
            <w:tcBorders>
              <w:top w:val="single" w:sz="4" w:space="0" w:color="C0C0C0"/>
              <w:left w:val="single" w:sz="4" w:space="0" w:color="C0C0C0"/>
              <w:bottom w:val="single" w:sz="4" w:space="0" w:color="C0C0C0"/>
              <w:right w:val="single" w:sz="4" w:space="0" w:color="C0C0C0"/>
            </w:tcBorders>
          </w:tcPr>
          <w:p w14:paraId="4622A7B1" w14:textId="77777777" w:rsidR="000D42F0" w:rsidRPr="00250106" w:rsidRDefault="000D42F0" w:rsidP="00BC3430">
            <w:pPr>
              <w:spacing w:before="40" w:after="40"/>
              <w:jc w:val="center"/>
              <w:rPr>
                <w:rFonts w:ascii="Arial" w:hAnsi="Arial" w:cs="Arial"/>
              </w:rPr>
            </w:pPr>
          </w:p>
        </w:tc>
      </w:tr>
      <w:tr w:rsidR="000D42F0" w:rsidRPr="00250106" w14:paraId="64D51026" w14:textId="77777777" w:rsidTr="00F947D7">
        <w:trPr>
          <w:trHeight w:val="175"/>
        </w:trPr>
        <w:tc>
          <w:tcPr>
            <w:tcW w:w="6743" w:type="dxa"/>
            <w:tcBorders>
              <w:top w:val="single" w:sz="4" w:space="0" w:color="C0C0C0"/>
              <w:left w:val="single" w:sz="4" w:space="0" w:color="C0C0C0"/>
              <w:bottom w:val="single" w:sz="4" w:space="0" w:color="C0C0C0"/>
              <w:right w:val="single" w:sz="4" w:space="0" w:color="C0C0C0"/>
            </w:tcBorders>
          </w:tcPr>
          <w:p w14:paraId="7E001BAC" w14:textId="5A8FE1DF" w:rsidR="000D42F0" w:rsidRDefault="001D0391" w:rsidP="00BC3430">
            <w:pPr>
              <w:spacing w:before="40" w:after="40"/>
              <w:rPr>
                <w:rFonts w:ascii="Arial" w:hAnsi="Arial" w:cs="Arial"/>
              </w:rPr>
            </w:pPr>
            <w:r>
              <w:rPr>
                <w:rFonts w:ascii="Arial" w:hAnsi="Arial" w:cs="Arial"/>
              </w:rPr>
              <w:t>DPIA c</w:t>
            </w:r>
            <w:r w:rsidR="000D42F0">
              <w:rPr>
                <w:rFonts w:ascii="Arial" w:hAnsi="Arial" w:cs="Arial"/>
              </w:rPr>
              <w:t>omplete</w:t>
            </w:r>
            <w:r>
              <w:rPr>
                <w:rFonts w:ascii="Arial" w:hAnsi="Arial" w:cs="Arial"/>
              </w:rPr>
              <w:t xml:space="preserve"> submitted with policy for approval (if necessary)</w:t>
            </w:r>
          </w:p>
        </w:tc>
        <w:tc>
          <w:tcPr>
            <w:tcW w:w="1134" w:type="dxa"/>
            <w:tcBorders>
              <w:top w:val="single" w:sz="4" w:space="0" w:color="C0C0C0"/>
              <w:left w:val="single" w:sz="4" w:space="0" w:color="C0C0C0"/>
              <w:bottom w:val="single" w:sz="4" w:space="0" w:color="C0C0C0"/>
              <w:right w:val="single" w:sz="4" w:space="0" w:color="C0C0C0"/>
            </w:tcBorders>
          </w:tcPr>
          <w:p w14:paraId="65329589" w14:textId="1B2F8281" w:rsidR="000D42F0" w:rsidRPr="00250106" w:rsidRDefault="00A477F8" w:rsidP="00BC3430">
            <w:pPr>
              <w:spacing w:before="40" w:after="40"/>
              <w:jc w:val="center"/>
              <w:rPr>
                <w:rFonts w:ascii="Arial" w:hAnsi="Arial" w:cs="Arial"/>
              </w:rPr>
            </w:pPr>
            <w:r>
              <w:rPr>
                <w:rFonts w:ascii="Arial" w:hAnsi="Arial" w:cs="Arial"/>
              </w:rPr>
              <w:t>N/A</w:t>
            </w:r>
          </w:p>
        </w:tc>
        <w:tc>
          <w:tcPr>
            <w:tcW w:w="1134" w:type="dxa"/>
            <w:tcBorders>
              <w:top w:val="single" w:sz="4" w:space="0" w:color="C0C0C0"/>
              <w:left w:val="single" w:sz="4" w:space="0" w:color="C0C0C0"/>
              <w:bottom w:val="single" w:sz="4" w:space="0" w:color="C0C0C0"/>
              <w:right w:val="single" w:sz="4" w:space="0" w:color="C0C0C0"/>
            </w:tcBorders>
          </w:tcPr>
          <w:p w14:paraId="609F92F1" w14:textId="77777777" w:rsidR="000D42F0" w:rsidRPr="00250106" w:rsidRDefault="000D42F0" w:rsidP="00BC3430">
            <w:pPr>
              <w:spacing w:before="40" w:after="40"/>
              <w:jc w:val="center"/>
              <w:rPr>
                <w:rFonts w:ascii="Arial" w:hAnsi="Arial" w:cs="Arial"/>
              </w:rPr>
            </w:pPr>
          </w:p>
        </w:tc>
      </w:tr>
    </w:tbl>
    <w:p w14:paraId="7640B2B0" w14:textId="77777777" w:rsidR="0061040F" w:rsidRDefault="0061040F" w:rsidP="0061040F">
      <w:pPr>
        <w:rPr>
          <w:iCs/>
        </w:rPr>
      </w:pPr>
    </w:p>
    <w:p w14:paraId="6BDF8FEC" w14:textId="77777777" w:rsidR="002653BA" w:rsidRDefault="002653BA" w:rsidP="0061040F">
      <w:pPr>
        <w:rPr>
          <w:iCs/>
        </w:rPr>
      </w:pPr>
    </w:p>
    <w:p w14:paraId="158EC845" w14:textId="77777777" w:rsidR="002653BA" w:rsidRDefault="002653BA" w:rsidP="0061040F">
      <w:pPr>
        <w:rPr>
          <w:iCs/>
        </w:rPr>
      </w:pPr>
    </w:p>
    <w:p w14:paraId="6F8DEFD5" w14:textId="77777777" w:rsidR="002653BA" w:rsidRDefault="002653BA" w:rsidP="0061040F">
      <w:pPr>
        <w:rPr>
          <w:iCs/>
        </w:rPr>
      </w:pPr>
    </w:p>
    <w:p w14:paraId="56FDA315" w14:textId="77777777" w:rsidR="002653BA" w:rsidRDefault="002653BA" w:rsidP="0061040F">
      <w:pPr>
        <w:rPr>
          <w:iCs/>
        </w:rPr>
      </w:pPr>
    </w:p>
    <w:p w14:paraId="7A7E1430" w14:textId="77777777" w:rsidR="002653BA" w:rsidRDefault="002653BA" w:rsidP="0061040F">
      <w:pPr>
        <w:rPr>
          <w:iCs/>
        </w:rPr>
      </w:pPr>
    </w:p>
    <w:p w14:paraId="1B106DF5" w14:textId="77777777" w:rsidR="002653BA" w:rsidRDefault="002653BA" w:rsidP="0061040F">
      <w:pPr>
        <w:rPr>
          <w:iCs/>
        </w:rPr>
      </w:pPr>
    </w:p>
    <w:p w14:paraId="1D0D1F4B" w14:textId="5E5FF5DE" w:rsidR="004A3E07" w:rsidRPr="00250106" w:rsidRDefault="004A3E07" w:rsidP="004A3E07">
      <w:pPr>
        <w:pStyle w:val="DocControlHeading"/>
        <w:shd w:val="clear" w:color="auto" w:fill="00A0AF"/>
        <w:spacing w:before="480"/>
        <w:ind w:right="-144"/>
        <w:jc w:val="both"/>
        <w:rPr>
          <w:rFonts w:ascii="Arial" w:hAnsi="Arial"/>
          <w:color w:val="FFFFFF"/>
          <w:sz w:val="22"/>
          <w:szCs w:val="22"/>
        </w:rPr>
      </w:pPr>
      <w:r>
        <w:rPr>
          <w:rFonts w:ascii="Arial" w:hAnsi="Arial"/>
          <w:color w:val="FFFFFF"/>
          <w:sz w:val="22"/>
          <w:szCs w:val="22"/>
        </w:rPr>
        <w:lastRenderedPageBreak/>
        <w:t>Appendix 1 Glossary</w:t>
      </w:r>
    </w:p>
    <w:tbl>
      <w:tblPr>
        <w:tblStyle w:val="TableGrid"/>
        <w:tblW w:w="0" w:type="auto"/>
        <w:tblLook w:val="04A0" w:firstRow="1" w:lastRow="0" w:firstColumn="1" w:lastColumn="0" w:noHBand="0" w:noVBand="1"/>
      </w:tblPr>
      <w:tblGrid>
        <w:gridCol w:w="1561"/>
        <w:gridCol w:w="7455"/>
      </w:tblGrid>
      <w:tr w:rsidR="00C6744D" w14:paraId="44CB989A" w14:textId="77777777" w:rsidTr="00937ACF">
        <w:tc>
          <w:tcPr>
            <w:tcW w:w="1561" w:type="dxa"/>
            <w:shd w:val="clear" w:color="auto" w:fill="7F7F7F" w:themeFill="text1" w:themeFillTint="80"/>
          </w:tcPr>
          <w:p w14:paraId="46F6F859" w14:textId="77777777" w:rsidR="00C6744D" w:rsidRPr="00AC2343" w:rsidRDefault="00C6744D" w:rsidP="00937ACF">
            <w:pPr>
              <w:jc w:val="both"/>
              <w:rPr>
                <w:rFonts w:ascii="Arial" w:hAnsi="Arial" w:cs="Arial"/>
                <w:b/>
                <w:bCs/>
                <w:color w:val="FFFFFF" w:themeColor="background1"/>
              </w:rPr>
            </w:pPr>
            <w:r w:rsidRPr="00AC2343">
              <w:rPr>
                <w:rFonts w:ascii="Arial" w:hAnsi="Arial" w:cs="Arial"/>
                <w:b/>
                <w:bCs/>
                <w:color w:val="FFFFFF" w:themeColor="background1"/>
              </w:rPr>
              <w:t>Term</w:t>
            </w:r>
          </w:p>
        </w:tc>
        <w:tc>
          <w:tcPr>
            <w:tcW w:w="7455" w:type="dxa"/>
            <w:shd w:val="clear" w:color="auto" w:fill="7F7F7F" w:themeFill="text1" w:themeFillTint="80"/>
          </w:tcPr>
          <w:p w14:paraId="0BA2592F" w14:textId="77777777" w:rsidR="00C6744D" w:rsidRDefault="00C6744D" w:rsidP="00937ACF">
            <w:pPr>
              <w:jc w:val="both"/>
              <w:rPr>
                <w:rFonts w:ascii="Arial" w:hAnsi="Arial" w:cs="Arial"/>
                <w:b/>
                <w:bCs/>
                <w:color w:val="FFFFFF" w:themeColor="background1"/>
              </w:rPr>
            </w:pPr>
            <w:r w:rsidRPr="00AC2343">
              <w:rPr>
                <w:rFonts w:ascii="Arial" w:hAnsi="Arial" w:cs="Arial"/>
                <w:b/>
                <w:bCs/>
                <w:color w:val="FFFFFF" w:themeColor="background1"/>
              </w:rPr>
              <w:t>Description</w:t>
            </w:r>
          </w:p>
          <w:p w14:paraId="6E44144C" w14:textId="77777777" w:rsidR="00C6744D" w:rsidRPr="00AC2343" w:rsidRDefault="00C6744D" w:rsidP="00937ACF">
            <w:pPr>
              <w:jc w:val="both"/>
              <w:rPr>
                <w:rFonts w:ascii="Arial" w:hAnsi="Arial" w:cs="Arial"/>
                <w:b/>
                <w:bCs/>
                <w:color w:val="FFFFFF" w:themeColor="background1"/>
              </w:rPr>
            </w:pPr>
          </w:p>
        </w:tc>
      </w:tr>
      <w:tr w:rsidR="00C6744D" w14:paraId="5B92379A" w14:textId="77777777" w:rsidTr="00937ACF">
        <w:tc>
          <w:tcPr>
            <w:tcW w:w="1561" w:type="dxa"/>
          </w:tcPr>
          <w:p w14:paraId="51AA227D" w14:textId="77777777" w:rsidR="00C6744D" w:rsidRPr="004302C6" w:rsidRDefault="00C6744D" w:rsidP="00937ACF">
            <w:pPr>
              <w:jc w:val="both"/>
              <w:rPr>
                <w:rFonts w:ascii="Arial" w:hAnsi="Arial" w:cs="Arial"/>
                <w:b/>
                <w:bCs/>
                <w:color w:val="000000" w:themeColor="text1"/>
              </w:rPr>
            </w:pPr>
            <w:r w:rsidRPr="004302C6">
              <w:rPr>
                <w:rFonts w:ascii="Arial" w:hAnsi="Arial" w:cs="Arial"/>
                <w:b/>
                <w:bCs/>
                <w:color w:val="000000" w:themeColor="text1"/>
              </w:rPr>
              <w:t>Estate</w:t>
            </w:r>
          </w:p>
        </w:tc>
        <w:tc>
          <w:tcPr>
            <w:tcW w:w="7455" w:type="dxa"/>
          </w:tcPr>
          <w:p w14:paraId="06F9E763" w14:textId="77777777" w:rsidR="00C6744D" w:rsidRPr="002F61ED" w:rsidRDefault="00C6744D" w:rsidP="00937ACF">
            <w:pPr>
              <w:jc w:val="both"/>
              <w:rPr>
                <w:rFonts w:ascii="Arial" w:hAnsi="Arial" w:cs="Arial"/>
                <w:color w:val="1F1F1F"/>
                <w:shd w:val="clear" w:color="auto" w:fill="FFFFFF"/>
              </w:rPr>
            </w:pPr>
            <w:r w:rsidRPr="002F61ED">
              <w:rPr>
                <w:rFonts w:ascii="Arial" w:hAnsi="Arial" w:cs="Arial"/>
                <w:color w:val="1F1F1F"/>
                <w:shd w:val="clear" w:color="auto" w:fill="FFFFFF"/>
              </w:rPr>
              <w:t xml:space="preserve">A collection of </w:t>
            </w:r>
            <w:r>
              <w:rPr>
                <w:rFonts w:ascii="Arial" w:hAnsi="Arial" w:cs="Arial"/>
                <w:color w:val="1F1F1F"/>
                <w:shd w:val="clear" w:color="auto" w:fill="FFFFFF"/>
              </w:rPr>
              <w:t>properties</w:t>
            </w:r>
            <w:r w:rsidRPr="002F61ED">
              <w:rPr>
                <w:rFonts w:ascii="Arial" w:hAnsi="Arial" w:cs="Arial"/>
                <w:color w:val="1F1F1F"/>
                <w:shd w:val="clear" w:color="auto" w:fill="FFFFFF"/>
              </w:rPr>
              <w:t xml:space="preserve"> that share communal land.</w:t>
            </w:r>
          </w:p>
          <w:p w14:paraId="3C2E6980" w14:textId="77777777" w:rsidR="00C6744D" w:rsidRDefault="00C6744D" w:rsidP="00937ACF">
            <w:pPr>
              <w:jc w:val="both"/>
              <w:rPr>
                <w:rFonts w:ascii="Arial" w:hAnsi="Arial" w:cs="Arial"/>
                <w:color w:val="5B9BD5" w:themeColor="accent1"/>
              </w:rPr>
            </w:pPr>
          </w:p>
        </w:tc>
      </w:tr>
      <w:tr w:rsidR="00C6744D" w14:paraId="0A000215" w14:textId="77777777" w:rsidTr="00937ACF">
        <w:tc>
          <w:tcPr>
            <w:tcW w:w="1561" w:type="dxa"/>
          </w:tcPr>
          <w:p w14:paraId="136C0290" w14:textId="77777777" w:rsidR="00C6744D" w:rsidRPr="004302C6" w:rsidRDefault="00C6744D" w:rsidP="00937ACF">
            <w:pPr>
              <w:jc w:val="both"/>
              <w:rPr>
                <w:rFonts w:ascii="Arial" w:hAnsi="Arial" w:cs="Arial"/>
                <w:b/>
                <w:bCs/>
                <w:color w:val="000000" w:themeColor="text1"/>
              </w:rPr>
            </w:pPr>
            <w:r w:rsidRPr="004302C6">
              <w:rPr>
                <w:rFonts w:ascii="Arial" w:hAnsi="Arial" w:cs="Arial"/>
                <w:b/>
                <w:bCs/>
                <w:color w:val="000000" w:themeColor="text1"/>
              </w:rPr>
              <w:t>Block</w:t>
            </w:r>
          </w:p>
        </w:tc>
        <w:tc>
          <w:tcPr>
            <w:tcW w:w="7455" w:type="dxa"/>
          </w:tcPr>
          <w:p w14:paraId="31AB0C34" w14:textId="77777777" w:rsidR="00C6744D" w:rsidRPr="00B20427" w:rsidRDefault="00C6744D" w:rsidP="00937ACF">
            <w:pPr>
              <w:jc w:val="both"/>
              <w:rPr>
                <w:rFonts w:ascii="Arial" w:hAnsi="Arial" w:cs="Arial"/>
              </w:rPr>
            </w:pPr>
            <w:r w:rsidRPr="002F61ED">
              <w:rPr>
                <w:rFonts w:ascii="Arial" w:hAnsi="Arial" w:cs="Arial"/>
              </w:rPr>
              <w:t>A row of properties or a collection of units that share a roof</w:t>
            </w:r>
            <w:r>
              <w:rPr>
                <w:rFonts w:ascii="Arial" w:hAnsi="Arial" w:cs="Arial"/>
              </w:rPr>
              <w:t xml:space="preserve"> i.e. a block of flats.</w:t>
            </w:r>
          </w:p>
        </w:tc>
      </w:tr>
      <w:tr w:rsidR="00C6744D" w14:paraId="223DFAE8" w14:textId="77777777" w:rsidTr="00937ACF">
        <w:tc>
          <w:tcPr>
            <w:tcW w:w="1561" w:type="dxa"/>
          </w:tcPr>
          <w:p w14:paraId="3D5C9547" w14:textId="77777777" w:rsidR="00C6744D" w:rsidRPr="004302C6" w:rsidRDefault="00C6744D" w:rsidP="00937ACF">
            <w:pPr>
              <w:jc w:val="both"/>
              <w:rPr>
                <w:rFonts w:ascii="Arial" w:hAnsi="Arial" w:cs="Arial"/>
                <w:b/>
                <w:bCs/>
                <w:color w:val="000000" w:themeColor="text1"/>
              </w:rPr>
            </w:pPr>
            <w:r w:rsidRPr="004302C6">
              <w:rPr>
                <w:rFonts w:ascii="Arial" w:hAnsi="Arial" w:cs="Arial"/>
                <w:b/>
                <w:bCs/>
                <w:color w:val="000000" w:themeColor="text1"/>
              </w:rPr>
              <w:t>Property</w:t>
            </w:r>
          </w:p>
        </w:tc>
        <w:tc>
          <w:tcPr>
            <w:tcW w:w="7455" w:type="dxa"/>
          </w:tcPr>
          <w:p w14:paraId="23D7A0BB" w14:textId="77777777" w:rsidR="00C6744D" w:rsidRPr="00B20427" w:rsidRDefault="00C6744D" w:rsidP="00937ACF">
            <w:pPr>
              <w:jc w:val="both"/>
              <w:rPr>
                <w:rFonts w:ascii="Arial" w:hAnsi="Arial" w:cs="Arial"/>
              </w:rPr>
            </w:pPr>
            <w:r w:rsidRPr="002F61ED">
              <w:rPr>
                <w:rFonts w:ascii="Arial" w:hAnsi="Arial" w:cs="Arial"/>
              </w:rPr>
              <w:t>Smallest type of property classification, it can include a bedroom in in a shared accommodation, flat, house or bungalow. It refers to a property that is connected to an occupancy agreement.</w:t>
            </w:r>
          </w:p>
        </w:tc>
      </w:tr>
      <w:tr w:rsidR="00C6744D" w14:paraId="33078D4A" w14:textId="77777777" w:rsidTr="00937ACF">
        <w:tc>
          <w:tcPr>
            <w:tcW w:w="1561" w:type="dxa"/>
          </w:tcPr>
          <w:p w14:paraId="3ECF4902" w14:textId="77777777" w:rsidR="00C6744D" w:rsidRPr="004302C6" w:rsidRDefault="00C6744D" w:rsidP="00937ACF">
            <w:pPr>
              <w:jc w:val="both"/>
              <w:rPr>
                <w:rFonts w:ascii="Arial" w:hAnsi="Arial" w:cs="Arial"/>
                <w:b/>
                <w:bCs/>
                <w:color w:val="000000" w:themeColor="text1"/>
              </w:rPr>
            </w:pPr>
            <w:r>
              <w:rPr>
                <w:rFonts w:ascii="Arial" w:hAnsi="Arial" w:cs="Arial"/>
                <w:b/>
                <w:bCs/>
                <w:color w:val="000000" w:themeColor="text1"/>
              </w:rPr>
              <w:t>Occupancy Agreement</w:t>
            </w:r>
          </w:p>
        </w:tc>
        <w:tc>
          <w:tcPr>
            <w:tcW w:w="7455" w:type="dxa"/>
          </w:tcPr>
          <w:p w14:paraId="3130AA71" w14:textId="77777777" w:rsidR="00C6744D" w:rsidRPr="002F61ED" w:rsidRDefault="00C6744D" w:rsidP="00937ACF">
            <w:pPr>
              <w:jc w:val="both"/>
              <w:rPr>
                <w:rFonts w:ascii="Arial" w:hAnsi="Arial" w:cs="Arial"/>
              </w:rPr>
            </w:pPr>
            <w:r w:rsidRPr="00D15EBB">
              <w:rPr>
                <w:rFonts w:ascii="Arial" w:hAnsi="Arial" w:cs="Arial"/>
              </w:rPr>
              <w:t>An Occupancy Agreement is the contract between Riverside and individual/s residing in the property. This can be a lease, licence</w:t>
            </w:r>
            <w:r>
              <w:rPr>
                <w:rFonts w:ascii="Arial" w:hAnsi="Arial" w:cs="Arial"/>
              </w:rPr>
              <w:t xml:space="preserve"> or</w:t>
            </w:r>
            <w:r w:rsidRPr="00D15EBB">
              <w:rPr>
                <w:rFonts w:ascii="Arial" w:hAnsi="Arial" w:cs="Arial"/>
              </w:rPr>
              <w:t xml:space="preserve"> tenancy.</w:t>
            </w:r>
          </w:p>
        </w:tc>
      </w:tr>
      <w:tr w:rsidR="00C6744D" w14:paraId="4D4B188B" w14:textId="77777777" w:rsidTr="00937ACF">
        <w:tc>
          <w:tcPr>
            <w:tcW w:w="1561" w:type="dxa"/>
          </w:tcPr>
          <w:p w14:paraId="43C41A5D" w14:textId="77777777" w:rsidR="00C6744D" w:rsidRPr="004302C6" w:rsidRDefault="00C6744D" w:rsidP="00937ACF">
            <w:pPr>
              <w:jc w:val="both"/>
              <w:rPr>
                <w:rFonts w:ascii="Arial" w:hAnsi="Arial" w:cs="Arial"/>
                <w:b/>
                <w:bCs/>
                <w:color w:val="000000" w:themeColor="text1"/>
              </w:rPr>
            </w:pPr>
            <w:r w:rsidRPr="004302C6">
              <w:rPr>
                <w:rFonts w:ascii="Arial" w:hAnsi="Arial" w:cs="Arial"/>
                <w:b/>
                <w:bCs/>
                <w:color w:val="000000" w:themeColor="text1"/>
              </w:rPr>
              <w:t>Variable Service Charge</w:t>
            </w:r>
          </w:p>
        </w:tc>
        <w:tc>
          <w:tcPr>
            <w:tcW w:w="7455" w:type="dxa"/>
          </w:tcPr>
          <w:p w14:paraId="55342A64" w14:textId="77777777" w:rsidR="00C6744D" w:rsidRPr="00D62906" w:rsidRDefault="00C6744D" w:rsidP="00937ACF">
            <w:pPr>
              <w:jc w:val="both"/>
              <w:rPr>
                <w:rFonts w:ascii="Arial" w:hAnsi="Arial" w:cs="Arial"/>
                <w:color w:val="000000" w:themeColor="text1"/>
              </w:rPr>
            </w:pPr>
            <w:r w:rsidRPr="00D62906">
              <w:rPr>
                <w:rFonts w:ascii="Arial" w:hAnsi="Arial" w:cs="Arial"/>
                <w:color w:val="000000" w:themeColor="text1"/>
              </w:rPr>
              <w:t>The legal definition of a variable service charge is set out in Section 18 of the Landlord and Tenant Act 1985. They are defined as: (1) “Service charge” means an amount payable by a tenant of a dwelling as part of or in addition to the rent – (a) which is payable, directly, or indirectly, for services, repairs, maintenance, improvements or insurance or the landlord’s costs of management, and (b) the whole part of which varies or may vary according to the relevant costs. (2) The relevant costs are the costs or estimated costs incurred or to be incurred by or on behalf of the landlord, or a superior landlord, in connection with the matters for which the service charge is payable. (3) For this purpose – (a) “costs” include overheads, and 9 Costs are relevant costs in relation to a service charge whether they are incurred, or to be incurred, in the period for which the service charge is payable or in an earlier or later period.</w:t>
            </w:r>
          </w:p>
        </w:tc>
      </w:tr>
      <w:tr w:rsidR="00C6744D" w14:paraId="0374DD75" w14:textId="77777777" w:rsidTr="00937ACF">
        <w:tc>
          <w:tcPr>
            <w:tcW w:w="1561" w:type="dxa"/>
          </w:tcPr>
          <w:p w14:paraId="54F95AA5" w14:textId="77777777" w:rsidR="00C6744D" w:rsidRPr="004302C6" w:rsidRDefault="00C6744D" w:rsidP="00937ACF">
            <w:pPr>
              <w:jc w:val="both"/>
              <w:rPr>
                <w:rFonts w:ascii="Arial" w:hAnsi="Arial" w:cs="Arial"/>
                <w:b/>
                <w:bCs/>
                <w:color w:val="000000" w:themeColor="text1"/>
              </w:rPr>
            </w:pPr>
            <w:r w:rsidRPr="004302C6">
              <w:rPr>
                <w:rFonts w:ascii="Arial" w:hAnsi="Arial" w:cs="Arial"/>
                <w:b/>
                <w:bCs/>
                <w:color w:val="000000" w:themeColor="text1"/>
              </w:rPr>
              <w:t>Fixed Service Charge</w:t>
            </w:r>
          </w:p>
        </w:tc>
        <w:tc>
          <w:tcPr>
            <w:tcW w:w="7455" w:type="dxa"/>
          </w:tcPr>
          <w:p w14:paraId="7D175716" w14:textId="77777777" w:rsidR="00C6744D" w:rsidRPr="00D62906" w:rsidRDefault="00C6744D" w:rsidP="00937ACF">
            <w:pPr>
              <w:jc w:val="both"/>
              <w:rPr>
                <w:rFonts w:ascii="Arial" w:hAnsi="Arial" w:cs="Arial"/>
                <w:color w:val="000000" w:themeColor="text1"/>
              </w:rPr>
            </w:pPr>
            <w:r w:rsidRPr="00D62906">
              <w:rPr>
                <w:rFonts w:ascii="Arial" w:hAnsi="Arial" w:cs="Arial"/>
                <w:color w:val="000000" w:themeColor="text1"/>
              </w:rPr>
              <w:t xml:space="preserve">This charge is fixed at the start of the year, based on an estimate of the service cost. </w:t>
            </w:r>
            <w:r w:rsidRPr="00414521">
              <w:rPr>
                <w:rFonts w:ascii="Arial" w:hAnsi="Arial" w:cs="Arial"/>
                <w:color w:val="000000" w:themeColor="text1"/>
              </w:rPr>
              <w:t xml:space="preserve">These service charges do not change according to the </w:t>
            </w:r>
            <w:r w:rsidRPr="00D62906">
              <w:rPr>
                <w:rFonts w:ascii="Arial" w:hAnsi="Arial" w:cs="Arial"/>
                <w:color w:val="000000" w:themeColor="text1"/>
              </w:rPr>
              <w:t xml:space="preserve">actual </w:t>
            </w:r>
            <w:r w:rsidRPr="00414521">
              <w:rPr>
                <w:rFonts w:ascii="Arial" w:hAnsi="Arial" w:cs="Arial"/>
                <w:color w:val="000000" w:themeColor="text1"/>
              </w:rPr>
              <w:t>cost. So, they do not change because the actual costs are less or more than the</w:t>
            </w:r>
            <w:r w:rsidRPr="00D62906">
              <w:rPr>
                <w:rFonts w:ascii="Arial" w:hAnsi="Arial" w:cs="Arial"/>
                <w:color w:val="000000" w:themeColor="text1"/>
              </w:rPr>
              <w:t xml:space="preserve"> estimated</w:t>
            </w:r>
            <w:r w:rsidRPr="00414521">
              <w:rPr>
                <w:rFonts w:ascii="Arial" w:hAnsi="Arial" w:cs="Arial"/>
                <w:color w:val="000000" w:themeColor="text1"/>
              </w:rPr>
              <w:t xml:space="preserve"> service charge set at the beginning of the year. </w:t>
            </w:r>
          </w:p>
        </w:tc>
      </w:tr>
      <w:tr w:rsidR="00C6744D" w14:paraId="50A91EC0" w14:textId="77777777" w:rsidTr="00937ACF">
        <w:tc>
          <w:tcPr>
            <w:tcW w:w="1561" w:type="dxa"/>
          </w:tcPr>
          <w:p w14:paraId="35608BB9" w14:textId="77777777" w:rsidR="00C6744D" w:rsidRPr="004302C6" w:rsidRDefault="00C6744D" w:rsidP="00937ACF">
            <w:pPr>
              <w:spacing w:line="276" w:lineRule="auto"/>
              <w:ind w:left="-425" w:firstLine="425"/>
              <w:rPr>
                <w:rFonts w:ascii="Arial" w:eastAsia="Calibri" w:hAnsi="Arial" w:cs="Arial"/>
                <w:b/>
                <w:bCs/>
                <w:color w:val="000000" w:themeColor="text1"/>
              </w:rPr>
            </w:pPr>
            <w:r w:rsidRPr="004302C6">
              <w:rPr>
                <w:rFonts w:ascii="Arial" w:eastAsia="Calibri" w:hAnsi="Arial" w:cs="Arial"/>
                <w:b/>
                <w:bCs/>
                <w:color w:val="000000" w:themeColor="text1"/>
              </w:rPr>
              <w:t>I&amp;E</w:t>
            </w:r>
          </w:p>
          <w:p w14:paraId="53DD1737" w14:textId="77777777" w:rsidR="00C6744D" w:rsidRPr="004302C6" w:rsidRDefault="00C6744D" w:rsidP="00937ACF">
            <w:pPr>
              <w:jc w:val="both"/>
              <w:rPr>
                <w:rFonts w:ascii="Arial" w:hAnsi="Arial" w:cs="Arial"/>
                <w:b/>
                <w:bCs/>
                <w:color w:val="000000" w:themeColor="text1"/>
              </w:rPr>
            </w:pPr>
          </w:p>
        </w:tc>
        <w:tc>
          <w:tcPr>
            <w:tcW w:w="7455" w:type="dxa"/>
          </w:tcPr>
          <w:p w14:paraId="63D07F1B" w14:textId="77777777" w:rsidR="00C6744D" w:rsidRPr="00D62906" w:rsidRDefault="00C6744D" w:rsidP="00937ACF">
            <w:pPr>
              <w:spacing w:line="276" w:lineRule="auto"/>
              <w:rPr>
                <w:rFonts w:ascii="Arial" w:hAnsi="Arial" w:cs="Arial"/>
                <w:color w:val="000000" w:themeColor="text1"/>
              </w:rPr>
            </w:pPr>
            <w:r w:rsidRPr="00D62906">
              <w:rPr>
                <w:rFonts w:ascii="Arial" w:hAnsi="Arial" w:cs="Arial"/>
                <w:color w:val="000000" w:themeColor="text1"/>
              </w:rPr>
              <w:t>Income &amp; Expenditure, also known as the balancing charge, is the difference between the estimated service charges at the beginning of the year and the actual cost of the services.</w:t>
            </w:r>
          </w:p>
        </w:tc>
      </w:tr>
      <w:tr w:rsidR="00C6744D" w14:paraId="2DFE82AA" w14:textId="77777777" w:rsidTr="00937ACF">
        <w:tc>
          <w:tcPr>
            <w:tcW w:w="1561" w:type="dxa"/>
          </w:tcPr>
          <w:p w14:paraId="030D93D4" w14:textId="77777777" w:rsidR="00C6744D" w:rsidRPr="00D62906" w:rsidRDefault="00C6744D" w:rsidP="00937ACF">
            <w:pPr>
              <w:jc w:val="both"/>
              <w:rPr>
                <w:rFonts w:ascii="Arial" w:hAnsi="Arial" w:cs="Arial"/>
                <w:b/>
                <w:bCs/>
                <w:color w:val="000000" w:themeColor="text1"/>
              </w:rPr>
            </w:pPr>
            <w:r w:rsidRPr="00D62906">
              <w:rPr>
                <w:rFonts w:ascii="Arial" w:hAnsi="Arial" w:cs="Arial"/>
                <w:b/>
                <w:bCs/>
                <w:color w:val="000000" w:themeColor="text1"/>
              </w:rPr>
              <w:t>First-tier tribunal (Property chamber)</w:t>
            </w:r>
          </w:p>
        </w:tc>
        <w:tc>
          <w:tcPr>
            <w:tcW w:w="7455" w:type="dxa"/>
          </w:tcPr>
          <w:p w14:paraId="3AECEAF5" w14:textId="77777777" w:rsidR="00C6744D" w:rsidRPr="00D62906" w:rsidRDefault="00C6744D" w:rsidP="00937ACF">
            <w:pPr>
              <w:jc w:val="both"/>
              <w:rPr>
                <w:rFonts w:ascii="Arial" w:hAnsi="Arial" w:cs="Arial"/>
                <w:color w:val="000000" w:themeColor="text1"/>
              </w:rPr>
            </w:pPr>
            <w:r>
              <w:rPr>
                <w:rFonts w:ascii="Arial" w:hAnsi="Arial" w:cs="Arial"/>
                <w:color w:val="000000" w:themeColor="text1"/>
              </w:rPr>
              <w:t>T</w:t>
            </w:r>
            <w:r w:rsidRPr="00D62906">
              <w:rPr>
                <w:rFonts w:ascii="Arial" w:hAnsi="Arial" w:cs="Arial"/>
                <w:color w:val="000000" w:themeColor="text1"/>
              </w:rPr>
              <w:t>he First-tier Tribunal is an independent body which has the power to settle legal disputes concerning rented or leasehold land or property, and the power to award costs. Appeals are referred to the Upper-tier tribunal. It was formerly called the Leasehold Valuation Tribunal.</w:t>
            </w:r>
          </w:p>
        </w:tc>
      </w:tr>
      <w:tr w:rsidR="00C6744D" w14:paraId="3CF42A75" w14:textId="77777777" w:rsidTr="00937ACF">
        <w:tc>
          <w:tcPr>
            <w:tcW w:w="1561" w:type="dxa"/>
          </w:tcPr>
          <w:p w14:paraId="17E76D15" w14:textId="77777777" w:rsidR="00C6744D" w:rsidRPr="00D62906" w:rsidRDefault="00C6744D" w:rsidP="00937ACF">
            <w:pPr>
              <w:jc w:val="both"/>
              <w:rPr>
                <w:rFonts w:ascii="Arial" w:hAnsi="Arial" w:cs="Arial"/>
                <w:b/>
                <w:bCs/>
                <w:color w:val="000000" w:themeColor="text1"/>
              </w:rPr>
            </w:pPr>
            <w:r w:rsidRPr="00D62906">
              <w:rPr>
                <w:rFonts w:ascii="Arial" w:hAnsi="Arial" w:cs="Arial"/>
                <w:b/>
                <w:bCs/>
                <w:color w:val="000000" w:themeColor="text1"/>
              </w:rPr>
              <w:t>Housing Ombudsman</w:t>
            </w:r>
          </w:p>
        </w:tc>
        <w:tc>
          <w:tcPr>
            <w:tcW w:w="7455" w:type="dxa"/>
          </w:tcPr>
          <w:p w14:paraId="24507062" w14:textId="77777777" w:rsidR="00C6744D" w:rsidRPr="00D62906" w:rsidRDefault="00C6744D" w:rsidP="00937ACF">
            <w:pPr>
              <w:jc w:val="both"/>
              <w:rPr>
                <w:rFonts w:ascii="Arial" w:hAnsi="Arial" w:cs="Arial"/>
                <w:color w:val="000000" w:themeColor="text1"/>
              </w:rPr>
            </w:pPr>
            <w:r w:rsidRPr="00BA1613">
              <w:rPr>
                <w:rFonts w:ascii="Arial" w:hAnsi="Arial" w:cs="Arial"/>
                <w:color w:val="000000" w:themeColor="text1"/>
              </w:rPr>
              <w:t xml:space="preserve">The Housing Ombudsman Service is a fair and impartial service which was set up by law to look at complaints about housing organisations that are registered with </w:t>
            </w:r>
            <w:r>
              <w:rPr>
                <w:rFonts w:ascii="Arial" w:hAnsi="Arial" w:cs="Arial"/>
                <w:color w:val="000000" w:themeColor="text1"/>
              </w:rPr>
              <w:t>them</w:t>
            </w:r>
            <w:r w:rsidRPr="00BA1613">
              <w:rPr>
                <w:rFonts w:ascii="Arial" w:hAnsi="Arial" w:cs="Arial"/>
                <w:color w:val="000000" w:themeColor="text1"/>
              </w:rPr>
              <w:t xml:space="preserve">. </w:t>
            </w:r>
            <w:r>
              <w:rPr>
                <w:rFonts w:ascii="Arial" w:hAnsi="Arial" w:cs="Arial"/>
                <w:color w:val="000000" w:themeColor="text1"/>
              </w:rPr>
              <w:t>The</w:t>
            </w:r>
            <w:r w:rsidRPr="00BA1613">
              <w:rPr>
                <w:rFonts w:ascii="Arial" w:hAnsi="Arial" w:cs="Arial"/>
                <w:color w:val="000000" w:themeColor="text1"/>
              </w:rPr>
              <w:t xml:space="preserve"> service is free of charge to all residents in social housing.</w:t>
            </w:r>
          </w:p>
        </w:tc>
      </w:tr>
      <w:tr w:rsidR="00C6744D" w14:paraId="6456FA54" w14:textId="77777777" w:rsidTr="00937ACF">
        <w:tc>
          <w:tcPr>
            <w:tcW w:w="1561" w:type="dxa"/>
          </w:tcPr>
          <w:p w14:paraId="7E0D8F96" w14:textId="77777777" w:rsidR="00C6744D" w:rsidRPr="00D62906" w:rsidRDefault="00C6744D" w:rsidP="00937ACF">
            <w:pPr>
              <w:jc w:val="both"/>
              <w:rPr>
                <w:rFonts w:ascii="Arial" w:hAnsi="Arial" w:cs="Arial"/>
                <w:b/>
                <w:bCs/>
                <w:color w:val="000000" w:themeColor="text1"/>
              </w:rPr>
            </w:pPr>
            <w:r w:rsidRPr="00D62906">
              <w:rPr>
                <w:rFonts w:ascii="Arial" w:hAnsi="Arial" w:cs="Arial"/>
                <w:b/>
                <w:bCs/>
                <w:color w:val="000000" w:themeColor="text1"/>
              </w:rPr>
              <w:t>Reasonable cost</w:t>
            </w:r>
          </w:p>
        </w:tc>
        <w:tc>
          <w:tcPr>
            <w:tcW w:w="7455" w:type="dxa"/>
          </w:tcPr>
          <w:p w14:paraId="694A5976" w14:textId="77777777" w:rsidR="00C6744D" w:rsidRPr="00D62906" w:rsidRDefault="00C6744D" w:rsidP="00937ACF">
            <w:pPr>
              <w:jc w:val="both"/>
              <w:rPr>
                <w:rFonts w:ascii="Arial" w:hAnsi="Arial" w:cs="Arial"/>
                <w:color w:val="000000" w:themeColor="text1"/>
              </w:rPr>
            </w:pPr>
            <w:r w:rsidRPr="00D62906">
              <w:rPr>
                <w:rFonts w:ascii="Arial" w:hAnsi="Arial" w:cs="Arial"/>
                <w:color w:val="000000" w:themeColor="text1"/>
              </w:rPr>
              <w:t>“Reasonableness” is set out in the Landlord and Tenant Act 1985 and may be determined by a First-tier Tribunal. The cost must be relevant, reasonably incurred and the services or works must be of a reasonable standard. Landlords can only recover those costs that are reasonable.</w:t>
            </w:r>
          </w:p>
        </w:tc>
      </w:tr>
      <w:tr w:rsidR="00C6744D" w14:paraId="4D23A5AB" w14:textId="77777777" w:rsidTr="00937ACF">
        <w:tc>
          <w:tcPr>
            <w:tcW w:w="1561" w:type="dxa"/>
          </w:tcPr>
          <w:p w14:paraId="77CE4905" w14:textId="77777777" w:rsidR="00C6744D" w:rsidRPr="00D62906" w:rsidRDefault="00C6744D" w:rsidP="00937ACF">
            <w:pPr>
              <w:jc w:val="both"/>
              <w:rPr>
                <w:rFonts w:ascii="Arial" w:hAnsi="Arial" w:cs="Arial"/>
                <w:b/>
                <w:bCs/>
                <w:color w:val="000000" w:themeColor="text1"/>
              </w:rPr>
            </w:pPr>
            <w:r w:rsidRPr="00D62906">
              <w:rPr>
                <w:rFonts w:ascii="Arial" w:hAnsi="Arial" w:cs="Arial"/>
                <w:b/>
                <w:bCs/>
                <w:color w:val="000000" w:themeColor="text1"/>
              </w:rPr>
              <w:t xml:space="preserve">Sinking Fund/ </w:t>
            </w:r>
            <w:r w:rsidRPr="00D62906">
              <w:rPr>
                <w:rFonts w:ascii="Arial" w:hAnsi="Arial" w:cs="Arial"/>
                <w:b/>
                <w:bCs/>
                <w:color w:val="000000" w:themeColor="text1"/>
              </w:rPr>
              <w:lastRenderedPageBreak/>
              <w:t>Reserve Fund</w:t>
            </w:r>
          </w:p>
        </w:tc>
        <w:tc>
          <w:tcPr>
            <w:tcW w:w="7455" w:type="dxa"/>
          </w:tcPr>
          <w:p w14:paraId="3FD44339" w14:textId="77777777" w:rsidR="00C6744D" w:rsidRPr="00D62906" w:rsidRDefault="00C6744D" w:rsidP="00937ACF">
            <w:pPr>
              <w:jc w:val="both"/>
              <w:rPr>
                <w:rFonts w:ascii="Arial" w:hAnsi="Arial" w:cs="Arial"/>
                <w:color w:val="000000" w:themeColor="text1"/>
              </w:rPr>
            </w:pPr>
            <w:r w:rsidRPr="00D62906">
              <w:rPr>
                <w:rFonts w:ascii="Arial" w:hAnsi="Arial" w:cs="Arial"/>
                <w:color w:val="000000" w:themeColor="text1"/>
              </w:rPr>
              <w:lastRenderedPageBreak/>
              <w:t>This is a fund to pay for future large-scale works. Some tenancy agreements and leases allow us to request a contribution towards this fund via the service charge. It is sometimes known as a “reserve fund”.</w:t>
            </w:r>
          </w:p>
        </w:tc>
      </w:tr>
      <w:tr w:rsidR="00C6744D" w14:paraId="23BDCA34" w14:textId="77777777" w:rsidTr="00937ACF">
        <w:tc>
          <w:tcPr>
            <w:tcW w:w="1561" w:type="dxa"/>
          </w:tcPr>
          <w:p w14:paraId="6B97614B" w14:textId="77777777" w:rsidR="00C6744D" w:rsidRPr="00D62906" w:rsidRDefault="00C6744D" w:rsidP="00937ACF">
            <w:pPr>
              <w:jc w:val="both"/>
              <w:rPr>
                <w:rFonts w:ascii="Arial" w:hAnsi="Arial" w:cs="Arial"/>
                <w:b/>
                <w:bCs/>
                <w:color w:val="000000" w:themeColor="text1"/>
              </w:rPr>
            </w:pPr>
            <w:r w:rsidRPr="00D62906">
              <w:rPr>
                <w:rFonts w:ascii="Arial" w:hAnsi="Arial" w:cs="Arial"/>
                <w:b/>
                <w:bCs/>
                <w:color w:val="000000" w:themeColor="text1"/>
              </w:rPr>
              <w:t>Management Fee</w:t>
            </w:r>
          </w:p>
        </w:tc>
        <w:tc>
          <w:tcPr>
            <w:tcW w:w="7455" w:type="dxa"/>
          </w:tcPr>
          <w:p w14:paraId="297C61B9" w14:textId="77777777" w:rsidR="00C6744D" w:rsidRPr="006629AB" w:rsidRDefault="00C6744D" w:rsidP="00937ACF">
            <w:pPr>
              <w:jc w:val="both"/>
              <w:rPr>
                <w:rFonts w:ascii="Arial" w:hAnsi="Arial" w:cs="Arial"/>
                <w:color w:val="5B9BD5" w:themeColor="accent1"/>
              </w:rPr>
            </w:pPr>
            <w:r w:rsidRPr="00D62906">
              <w:rPr>
                <w:rFonts w:ascii="Arial" w:hAnsi="Arial" w:cs="Arial"/>
                <w:color w:val="000000" w:themeColor="text1"/>
              </w:rPr>
              <w:t xml:space="preserve">This is a fee to recover the reasonable business costs incurred by </w:t>
            </w:r>
            <w:r>
              <w:rPr>
                <w:rFonts w:ascii="Arial" w:hAnsi="Arial" w:cs="Arial"/>
                <w:color w:val="000000" w:themeColor="text1"/>
              </w:rPr>
              <w:t>Riverside</w:t>
            </w:r>
            <w:r w:rsidRPr="00D62906">
              <w:rPr>
                <w:rFonts w:ascii="Arial" w:hAnsi="Arial" w:cs="Arial"/>
                <w:color w:val="000000" w:themeColor="text1"/>
              </w:rPr>
              <w:t xml:space="preserve"> in providing service chargeable services to the b</w:t>
            </w:r>
            <w:r>
              <w:rPr>
                <w:rFonts w:ascii="Arial" w:hAnsi="Arial" w:cs="Arial"/>
                <w:color w:val="000000" w:themeColor="text1"/>
              </w:rPr>
              <w:t>lock</w:t>
            </w:r>
            <w:r w:rsidRPr="00D62906">
              <w:rPr>
                <w:rFonts w:ascii="Arial" w:hAnsi="Arial" w:cs="Arial"/>
                <w:color w:val="000000" w:themeColor="text1"/>
              </w:rPr>
              <w:t xml:space="preserve"> and/or estate as set out in the </w:t>
            </w:r>
            <w:r>
              <w:rPr>
                <w:rFonts w:ascii="Arial" w:hAnsi="Arial" w:cs="Arial"/>
                <w:color w:val="000000" w:themeColor="text1"/>
              </w:rPr>
              <w:t>Occupancy Agreement</w:t>
            </w:r>
            <w:r w:rsidRPr="00D62906">
              <w:rPr>
                <w:rFonts w:ascii="Arial" w:hAnsi="Arial" w:cs="Arial"/>
                <w:color w:val="000000" w:themeColor="text1"/>
              </w:rPr>
              <w:t>.</w:t>
            </w:r>
            <w:r>
              <w:rPr>
                <w:rFonts w:ascii="Arial" w:hAnsi="Arial" w:cs="Arial"/>
                <w:color w:val="000000" w:themeColor="text1"/>
              </w:rPr>
              <w:t xml:space="preserve"> These are fixed or variable depending on the service charge regime in the Occupancy Agreement.</w:t>
            </w:r>
          </w:p>
        </w:tc>
      </w:tr>
      <w:tr w:rsidR="00017813" w14:paraId="65C0E3E2" w14:textId="77777777" w:rsidTr="00937ACF">
        <w:tc>
          <w:tcPr>
            <w:tcW w:w="1561" w:type="dxa"/>
          </w:tcPr>
          <w:p w14:paraId="3664B5DD" w14:textId="6EDC3ABB" w:rsidR="00017813" w:rsidRPr="00D62906" w:rsidRDefault="00017813" w:rsidP="00937ACF">
            <w:pPr>
              <w:jc w:val="both"/>
              <w:rPr>
                <w:rFonts w:ascii="Arial" w:hAnsi="Arial" w:cs="Arial"/>
                <w:b/>
                <w:bCs/>
                <w:color w:val="000000" w:themeColor="text1"/>
              </w:rPr>
            </w:pPr>
            <w:r>
              <w:rPr>
                <w:rFonts w:ascii="Arial" w:hAnsi="Arial" w:cs="Arial"/>
                <w:b/>
                <w:bCs/>
                <w:color w:val="000000" w:themeColor="text1"/>
              </w:rPr>
              <w:t>Section 106</w:t>
            </w:r>
          </w:p>
        </w:tc>
        <w:tc>
          <w:tcPr>
            <w:tcW w:w="7455" w:type="dxa"/>
          </w:tcPr>
          <w:p w14:paraId="50A1AEEF" w14:textId="443EE580" w:rsidR="00017813" w:rsidRPr="00D62906" w:rsidRDefault="007001A5" w:rsidP="00937ACF">
            <w:pPr>
              <w:jc w:val="both"/>
              <w:rPr>
                <w:rFonts w:ascii="Arial" w:hAnsi="Arial" w:cs="Arial"/>
                <w:color w:val="000000" w:themeColor="text1"/>
              </w:rPr>
            </w:pPr>
            <w:r w:rsidRPr="007001A5">
              <w:rPr>
                <w:rFonts w:ascii="Arial" w:hAnsi="Arial" w:cs="Arial"/>
                <w:color w:val="000000" w:themeColor="text1"/>
              </w:rPr>
              <w:t>Section 106 of the Town and Country Planning Act 1990 sets out planning obligations between local planners and developers. This may include an obligation to build Affordable Homes, which can be purchased from the Landlord through a Head Lease by a Housing Association for Affordable Rent or Shared Ownership.</w:t>
            </w:r>
          </w:p>
        </w:tc>
      </w:tr>
    </w:tbl>
    <w:p w14:paraId="4302F81E" w14:textId="77777777" w:rsidR="00C6744D" w:rsidRDefault="00C6744D" w:rsidP="00C6744D">
      <w:pPr>
        <w:spacing w:after="0" w:line="276" w:lineRule="auto"/>
        <w:ind w:left="-425"/>
        <w:rPr>
          <w:rFonts w:ascii="Arial" w:eastAsia="Calibri" w:hAnsi="Arial" w:cs="Arial"/>
          <w:b/>
        </w:rPr>
      </w:pPr>
    </w:p>
    <w:p w14:paraId="2B1410F6" w14:textId="77777777" w:rsidR="0061040F" w:rsidRPr="0061040F" w:rsidRDefault="0061040F" w:rsidP="0061040F"/>
    <w:sectPr w:rsidR="0061040F" w:rsidRPr="0061040F" w:rsidSect="001563AA">
      <w:headerReference w:type="default" r:id="rId22"/>
      <w:footerReference w:type="even" r:id="rId23"/>
      <w:footerReference w:type="default" r:id="rId24"/>
      <w:footerReference w:type="first" r:id="rId25"/>
      <w:pgSz w:w="11906" w:h="16838"/>
      <w:pgMar w:top="1440" w:right="1440" w:bottom="1440" w:left="1440" w:header="708" w:footer="83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zel Makinson" w:date="2024-04-29T12:04:00Z" w:initials="HM">
    <w:p w14:paraId="751C7EFA" w14:textId="77777777" w:rsidR="00957ECC" w:rsidRDefault="00957ECC" w:rsidP="00957ECC">
      <w:pPr>
        <w:pStyle w:val="CommentText"/>
      </w:pPr>
      <w:r>
        <w:rPr>
          <w:rStyle w:val="CommentReference"/>
        </w:rPr>
        <w:annotationRef/>
      </w:r>
      <w:r>
        <w:t>Do we link to strategic objectives? i.e. Trusted customer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1C7E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A6E6F3" w16cex:dateUtc="2024-04-29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1C7EFA" w16cid:durableId="5FA6E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7FFBB" w14:textId="77777777" w:rsidR="00AF5207" w:rsidRDefault="00AF5207" w:rsidP="00713BDB">
      <w:pPr>
        <w:spacing w:after="0" w:line="240" w:lineRule="auto"/>
      </w:pPr>
      <w:r>
        <w:separator/>
      </w:r>
    </w:p>
  </w:endnote>
  <w:endnote w:type="continuationSeparator" w:id="0">
    <w:p w14:paraId="697E35EF" w14:textId="77777777" w:rsidR="00AF5207" w:rsidRDefault="00AF5207"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5E5C" w14:textId="6014AEB2" w:rsidR="00587ACB" w:rsidRDefault="00587ACB">
    <w:pPr>
      <w:pStyle w:val="Footer"/>
    </w:pPr>
    <w:r>
      <w:rPr>
        <w:noProof/>
      </w:rPr>
      <mc:AlternateContent>
        <mc:Choice Requires="wps">
          <w:drawing>
            <wp:anchor distT="0" distB="0" distL="0" distR="0" simplePos="0" relativeHeight="251657216" behindDoc="0" locked="0" layoutInCell="1" allowOverlap="1" wp14:anchorId="147EC1D3" wp14:editId="17D5367C">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8F085" w14:textId="18DFD637"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7EC1D3" id="_x0000_t202" coordsize="21600,21600" o:spt="202" path="m,l,21600r21600,l21600,xe">
              <v:stroke joinstyle="miter"/>
              <v:path gradientshapeok="t" o:connecttype="rect"/>
            </v:shapetype>
            <v:shape id="Text Box 4" o:spid="_x0000_s1026" type="#_x0000_t202" alt="GENERAL - EXTERN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68F085" w14:textId="18DFD637"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6AAF" w14:textId="1C0DBF50" w:rsidR="00522EF1" w:rsidRPr="00587ACB" w:rsidRDefault="00C8782A" w:rsidP="003855C2">
    <w:pPr>
      <w:pStyle w:val="Footer"/>
      <w:jc w:val="right"/>
      <w:rPr>
        <w:rFonts w:ascii="Arial" w:hAnsi="Arial" w:cs="Arial"/>
      </w:rPr>
    </w:pPr>
    <w:r>
      <w:rPr>
        <w:rFonts w:ascii="Arial" w:hAnsi="Arial" w:cs="Arial"/>
        <w:b/>
        <w:bCs/>
        <w:noProof/>
        <w:sz w:val="18"/>
        <w:szCs w:val="18"/>
      </w:rPr>
      <w:drawing>
        <wp:anchor distT="0" distB="0" distL="114300" distR="114300" simplePos="0" relativeHeight="251659264" behindDoc="0" locked="0" layoutInCell="1" allowOverlap="1" wp14:anchorId="548B1E40" wp14:editId="5B94F9F5">
          <wp:simplePos x="0" y="0"/>
          <wp:positionH relativeFrom="column">
            <wp:posOffset>4619625</wp:posOffset>
          </wp:positionH>
          <wp:positionV relativeFrom="paragraph">
            <wp:posOffset>210185</wp:posOffset>
          </wp:positionV>
          <wp:extent cx="1685925" cy="4953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ACB" w:rsidRPr="00587ACB">
      <w:rPr>
        <w:rFonts w:ascii="Arial" w:hAnsi="Arial" w:cs="Arial"/>
        <w:b/>
        <w:bCs/>
        <w:noProof/>
        <w:sz w:val="18"/>
        <w:szCs w:val="18"/>
        <w:lang w:eastAsia="en-GB"/>
      </w:rPr>
      <mc:AlternateContent>
        <mc:Choice Requires="wps">
          <w:drawing>
            <wp:anchor distT="0" distB="0" distL="0" distR="0" simplePos="0" relativeHeight="251658240" behindDoc="0" locked="0" layoutInCell="1" allowOverlap="1" wp14:anchorId="7D7BB320" wp14:editId="0CFB494F">
              <wp:simplePos x="914400" y="8983066"/>
              <wp:positionH relativeFrom="column">
                <wp:align>center</wp:align>
              </wp:positionH>
              <wp:positionV relativeFrom="paragraph">
                <wp:posOffset>635</wp:posOffset>
              </wp:positionV>
              <wp:extent cx="443865" cy="443865"/>
              <wp:effectExtent l="0" t="0" r="15875" b="17145"/>
              <wp:wrapSquare wrapText="bothSides"/>
              <wp:docPr id="5" name="Text Box 5"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4D9CE" w14:textId="21D4982B"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7BB320" id="_x0000_t202" coordsize="21600,21600" o:spt="202" path="m,l,21600r21600,l21600,xe">
              <v:stroke joinstyle="miter"/>
              <v:path gradientshapeok="t" o:connecttype="rect"/>
            </v:shapetype>
            <v:shape id="Text Box 5" o:spid="_x0000_s1027" type="#_x0000_t202" alt="GENERAL - EX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474D9CE" w14:textId="21D4982B"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v:textbox>
              <w10:wrap type="square"/>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9"/>
      <w:gridCol w:w="1759"/>
      <w:gridCol w:w="1759"/>
      <w:gridCol w:w="1759"/>
    </w:tblGrid>
    <w:tr w:rsidR="00522EF1" w:rsidRPr="00587ACB" w14:paraId="4EA87E87" w14:textId="77777777" w:rsidTr="00B700DA">
      <w:trPr>
        <w:trHeight w:val="239"/>
      </w:trPr>
      <w:tc>
        <w:tcPr>
          <w:tcW w:w="1759" w:type="dxa"/>
        </w:tcPr>
        <w:p w14:paraId="7838B81A" w14:textId="676AEA04" w:rsidR="00522EF1" w:rsidRPr="00587ACB" w:rsidRDefault="00522EF1" w:rsidP="00B700DA">
          <w:pPr>
            <w:pStyle w:val="Footer"/>
            <w:rPr>
              <w:rFonts w:ascii="Arial" w:hAnsi="Arial" w:cs="Arial"/>
            </w:rPr>
          </w:pPr>
          <w:r w:rsidRPr="00587ACB">
            <w:rPr>
              <w:rFonts w:ascii="Arial" w:hAnsi="Arial" w:cs="Arial"/>
            </w:rPr>
            <w:t xml:space="preserve">Policy </w:t>
          </w:r>
          <w:r w:rsidR="00B700DA" w:rsidRPr="00587ACB">
            <w:rPr>
              <w:rFonts w:ascii="Arial" w:hAnsi="Arial" w:cs="Arial"/>
            </w:rPr>
            <w:t>Approval Date</w:t>
          </w:r>
          <w:r w:rsidRPr="00587ACB">
            <w:rPr>
              <w:rFonts w:ascii="Arial" w:hAnsi="Arial" w:cs="Arial"/>
            </w:rPr>
            <w:t>:</w:t>
          </w:r>
        </w:p>
      </w:tc>
      <w:tc>
        <w:tcPr>
          <w:tcW w:w="1759" w:type="dxa"/>
        </w:tcPr>
        <w:p w14:paraId="32FBB974" w14:textId="40E89836" w:rsidR="00522EF1" w:rsidRPr="00587ACB" w:rsidRDefault="0040040A" w:rsidP="00522EF1">
          <w:pPr>
            <w:pStyle w:val="Footer"/>
            <w:rPr>
              <w:rFonts w:ascii="Arial" w:hAnsi="Arial" w:cs="Arial"/>
            </w:rPr>
          </w:pPr>
          <w:r>
            <w:rPr>
              <w:rFonts w:ascii="Arial" w:hAnsi="Arial" w:cs="Arial"/>
            </w:rPr>
            <w:t>11 July 2024</w:t>
          </w:r>
        </w:p>
      </w:tc>
      <w:tc>
        <w:tcPr>
          <w:tcW w:w="1759" w:type="dxa"/>
        </w:tcPr>
        <w:p w14:paraId="7E06624A" w14:textId="421723E9" w:rsidR="00522EF1" w:rsidRPr="00587ACB" w:rsidRDefault="001254EA" w:rsidP="00522EF1">
          <w:pPr>
            <w:pStyle w:val="Footer"/>
            <w:rPr>
              <w:rFonts w:ascii="Arial" w:hAnsi="Arial" w:cs="Arial"/>
            </w:rPr>
          </w:pPr>
          <w:r w:rsidRPr="00587ACB">
            <w:rPr>
              <w:rFonts w:ascii="Arial" w:hAnsi="Arial" w:cs="Arial"/>
            </w:rPr>
            <w:t>Date of next review</w:t>
          </w:r>
          <w:r w:rsidR="00522EF1" w:rsidRPr="00587ACB">
            <w:rPr>
              <w:rFonts w:ascii="Arial" w:hAnsi="Arial" w:cs="Arial"/>
            </w:rPr>
            <w:t>:</w:t>
          </w:r>
        </w:p>
      </w:tc>
      <w:tc>
        <w:tcPr>
          <w:tcW w:w="1759" w:type="dxa"/>
        </w:tcPr>
        <w:p w14:paraId="55F5B834" w14:textId="583AF37D" w:rsidR="00522EF1" w:rsidRPr="00587ACB" w:rsidRDefault="0040040A" w:rsidP="00522EF1">
          <w:pPr>
            <w:pStyle w:val="Footer"/>
            <w:rPr>
              <w:rFonts w:ascii="Arial" w:hAnsi="Arial" w:cs="Arial"/>
            </w:rPr>
          </w:pPr>
          <w:r>
            <w:rPr>
              <w:rFonts w:ascii="Arial" w:hAnsi="Arial" w:cs="Arial"/>
            </w:rPr>
            <w:t>July 2026</w:t>
          </w:r>
        </w:p>
      </w:tc>
    </w:tr>
  </w:tbl>
  <w:p w14:paraId="4D3952A3" w14:textId="0D2D4070" w:rsidR="007770AF" w:rsidRPr="00587ACB" w:rsidRDefault="007770AF" w:rsidP="007770AF">
    <w:pPr>
      <w:jc w:val="center"/>
      <w:rPr>
        <w:rFonts w:ascii="Arial" w:hAnsi="Arial" w:cs="Arial"/>
        <w:b/>
        <w:bCs/>
        <w:sz w:val="18"/>
        <w:szCs w:val="18"/>
      </w:rPr>
    </w:pPr>
  </w:p>
  <w:p w14:paraId="535C0804" w14:textId="26959567" w:rsidR="00F947D7" w:rsidRPr="007770AF" w:rsidRDefault="00F947D7" w:rsidP="007770AF">
    <w:pPr>
      <w:jc w:val="center"/>
      <w:rPr>
        <w:rFonts w:ascii="Arial" w:hAnsi="Arial"/>
        <w:b/>
        <w:bCs/>
        <w:sz w:val="18"/>
        <w:szCs w:val="18"/>
      </w:rPr>
    </w:pPr>
    <w:r w:rsidRPr="00F947D7">
      <w:rPr>
        <w:rFonts w:ascii="Arial" w:hAnsi="Arial"/>
        <w:b/>
        <w:bCs/>
        <w:sz w:val="18"/>
        <w:szCs w:val="18"/>
      </w:rPr>
      <w:t>A charitable Registered Society under the Co-operative and Community Benefit Societies Act 2014</w:t>
    </w:r>
  </w:p>
  <w:p w14:paraId="5F443744" w14:textId="06751C8A" w:rsidR="00713BDB" w:rsidRDefault="00713BDB" w:rsidP="00F9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3966" w14:textId="05490CFE" w:rsidR="00587ACB" w:rsidRDefault="00587ACB">
    <w:pPr>
      <w:pStyle w:val="Footer"/>
    </w:pPr>
    <w:r>
      <w:rPr>
        <w:noProof/>
      </w:rPr>
      <mc:AlternateContent>
        <mc:Choice Requires="wps">
          <w:drawing>
            <wp:anchor distT="0" distB="0" distL="0" distR="0" simplePos="0" relativeHeight="251656192" behindDoc="0" locked="0" layoutInCell="1" allowOverlap="1" wp14:anchorId="5E841C9A" wp14:editId="2CB476A4">
              <wp:simplePos x="635" y="635"/>
              <wp:positionH relativeFrom="column">
                <wp:align>center</wp:align>
              </wp:positionH>
              <wp:positionV relativeFrom="paragraph">
                <wp:posOffset>635</wp:posOffset>
              </wp:positionV>
              <wp:extent cx="443865" cy="443865"/>
              <wp:effectExtent l="0" t="0" r="15875" b="17145"/>
              <wp:wrapSquare wrapText="bothSides"/>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AB1D6" w14:textId="3495251A"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841C9A" id="_x0000_t202" coordsize="21600,21600" o:spt="202" path="m,l,21600r21600,l21600,xe">
              <v:stroke joinstyle="miter"/>
              <v:path gradientshapeok="t" o:connecttype="rect"/>
            </v:shapetype>
            <v:shape id="Text Box 3" o:spid="_x0000_s1028" type="#_x0000_t202" alt="GENERAL - EXTERN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4AB1D6" w14:textId="3495251A" w:rsidR="00587ACB" w:rsidRPr="00587ACB" w:rsidRDefault="00587ACB">
                    <w:pPr>
                      <w:rPr>
                        <w:rFonts w:ascii="Calibri" w:eastAsia="Calibri" w:hAnsi="Calibri" w:cs="Calibri"/>
                        <w:noProof/>
                        <w:color w:val="000000"/>
                        <w:sz w:val="20"/>
                        <w:szCs w:val="20"/>
                      </w:rPr>
                    </w:pPr>
                    <w:r w:rsidRPr="00587ACB">
                      <w:rPr>
                        <w:rFonts w:ascii="Calibri" w:eastAsia="Calibri" w:hAnsi="Calibri" w:cs="Calibri"/>
                        <w:noProof/>
                        <w:color w:val="000000"/>
                        <w:sz w:val="20"/>
                        <w:szCs w:val="20"/>
                      </w:rPr>
                      <w:t>GENERAL - EXTERNAL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FDF0" w14:textId="77777777" w:rsidR="00AF5207" w:rsidRDefault="00AF5207" w:rsidP="00713BDB">
      <w:pPr>
        <w:spacing w:after="0" w:line="240" w:lineRule="auto"/>
      </w:pPr>
      <w:r>
        <w:separator/>
      </w:r>
    </w:p>
  </w:footnote>
  <w:footnote w:type="continuationSeparator" w:id="0">
    <w:p w14:paraId="42877B7C" w14:textId="77777777" w:rsidR="00AF5207" w:rsidRDefault="00AF5207"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239D" w14:textId="30071F1A" w:rsidR="00713BDB" w:rsidRDefault="00281BED">
    <w:pPr>
      <w:pStyle w:val="Header"/>
    </w:pPr>
    <w:r w:rsidRPr="0061040F">
      <w:rPr>
        <w:noProof/>
        <w:lang w:eastAsia="en-GB"/>
      </w:rPr>
      <w:drawing>
        <wp:anchor distT="0" distB="0" distL="114300" distR="114300" simplePos="0" relativeHeight="251655168" behindDoc="0" locked="0" layoutInCell="1" allowOverlap="1" wp14:anchorId="22412C4F" wp14:editId="394D9E9A">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5D555B"/>
    <w:multiLevelType w:val="hybridMultilevel"/>
    <w:tmpl w:val="CA2A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50282B"/>
    <w:multiLevelType w:val="multilevel"/>
    <w:tmpl w:val="46CC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14E37"/>
    <w:multiLevelType w:val="hybridMultilevel"/>
    <w:tmpl w:val="E45A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F3EEF"/>
    <w:multiLevelType w:val="hybridMultilevel"/>
    <w:tmpl w:val="2E80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22449"/>
    <w:multiLevelType w:val="hybridMultilevel"/>
    <w:tmpl w:val="6598E090"/>
    <w:lvl w:ilvl="0" w:tplc="FE92F4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9504F2"/>
    <w:multiLevelType w:val="hybridMultilevel"/>
    <w:tmpl w:val="CD2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D682F"/>
    <w:multiLevelType w:val="hybridMultilevel"/>
    <w:tmpl w:val="25A2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341EE"/>
    <w:multiLevelType w:val="multilevel"/>
    <w:tmpl w:val="0DA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461D4"/>
    <w:multiLevelType w:val="multilevel"/>
    <w:tmpl w:val="8086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90A7F"/>
    <w:multiLevelType w:val="multilevel"/>
    <w:tmpl w:val="C0D0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33604"/>
    <w:multiLevelType w:val="hybridMultilevel"/>
    <w:tmpl w:val="9662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37616"/>
    <w:multiLevelType w:val="multilevel"/>
    <w:tmpl w:val="F97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381249">
    <w:abstractNumId w:val="0"/>
  </w:num>
  <w:num w:numId="2" w16cid:durableId="82462090">
    <w:abstractNumId w:val="2"/>
  </w:num>
  <w:num w:numId="3" w16cid:durableId="441150766">
    <w:abstractNumId w:val="0"/>
  </w:num>
  <w:num w:numId="4" w16cid:durableId="2050567744">
    <w:abstractNumId w:val="12"/>
  </w:num>
  <w:num w:numId="5" w16cid:durableId="544104284">
    <w:abstractNumId w:val="6"/>
  </w:num>
  <w:num w:numId="6" w16cid:durableId="449202006">
    <w:abstractNumId w:val="1"/>
  </w:num>
  <w:num w:numId="7" w16cid:durableId="2121030527">
    <w:abstractNumId w:val="13"/>
  </w:num>
  <w:num w:numId="8" w16cid:durableId="1067261135">
    <w:abstractNumId w:val="4"/>
  </w:num>
  <w:num w:numId="9" w16cid:durableId="2002656460">
    <w:abstractNumId w:val="11"/>
  </w:num>
  <w:num w:numId="10" w16cid:durableId="1103380373">
    <w:abstractNumId w:val="10"/>
  </w:num>
  <w:num w:numId="11" w16cid:durableId="605189500">
    <w:abstractNumId w:val="14"/>
  </w:num>
  <w:num w:numId="12" w16cid:durableId="903033036">
    <w:abstractNumId w:val="9"/>
  </w:num>
  <w:num w:numId="13" w16cid:durableId="288821693">
    <w:abstractNumId w:val="3"/>
  </w:num>
  <w:num w:numId="14" w16cid:durableId="733284141">
    <w:abstractNumId w:val="5"/>
  </w:num>
  <w:num w:numId="15" w16cid:durableId="585303465">
    <w:abstractNumId w:val="8"/>
  </w:num>
  <w:num w:numId="16" w16cid:durableId="16146297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zel Makinson">
    <w15:presenceInfo w15:providerId="AD" w15:userId="S::Hazel.Makinson@riverside.org.uk::c048a441-2ca6-442f-8d6d-aca721913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11593"/>
    <w:rsid w:val="00017813"/>
    <w:rsid w:val="00020057"/>
    <w:rsid w:val="000263DA"/>
    <w:rsid w:val="000273CB"/>
    <w:rsid w:val="000519DC"/>
    <w:rsid w:val="00051CFB"/>
    <w:rsid w:val="000637EF"/>
    <w:rsid w:val="00064F6A"/>
    <w:rsid w:val="00071B0C"/>
    <w:rsid w:val="0007352F"/>
    <w:rsid w:val="00075FAA"/>
    <w:rsid w:val="00075FBA"/>
    <w:rsid w:val="000A3F3E"/>
    <w:rsid w:val="000A7504"/>
    <w:rsid w:val="000B0417"/>
    <w:rsid w:val="000D3498"/>
    <w:rsid w:val="000D42F0"/>
    <w:rsid w:val="000D67AB"/>
    <w:rsid w:val="000E7D02"/>
    <w:rsid w:val="000F6675"/>
    <w:rsid w:val="00104FA1"/>
    <w:rsid w:val="0010573F"/>
    <w:rsid w:val="001148FC"/>
    <w:rsid w:val="00114A37"/>
    <w:rsid w:val="001243BE"/>
    <w:rsid w:val="001254EA"/>
    <w:rsid w:val="001342D3"/>
    <w:rsid w:val="001459D1"/>
    <w:rsid w:val="001504DE"/>
    <w:rsid w:val="0015313B"/>
    <w:rsid w:val="0015584A"/>
    <w:rsid w:val="001563AA"/>
    <w:rsid w:val="00161290"/>
    <w:rsid w:val="00161DEA"/>
    <w:rsid w:val="001734C0"/>
    <w:rsid w:val="00176BBC"/>
    <w:rsid w:val="001873EC"/>
    <w:rsid w:val="001A0CB8"/>
    <w:rsid w:val="001A2CEB"/>
    <w:rsid w:val="001D0391"/>
    <w:rsid w:val="001D4D6B"/>
    <w:rsid w:val="001D5AC2"/>
    <w:rsid w:val="001E1E3B"/>
    <w:rsid w:val="001F0B79"/>
    <w:rsid w:val="00200257"/>
    <w:rsid w:val="002014D6"/>
    <w:rsid w:val="00213E99"/>
    <w:rsid w:val="0021482D"/>
    <w:rsid w:val="00217112"/>
    <w:rsid w:val="002200C5"/>
    <w:rsid w:val="00221C9C"/>
    <w:rsid w:val="00226C81"/>
    <w:rsid w:val="00235E55"/>
    <w:rsid w:val="002458E8"/>
    <w:rsid w:val="00253BCC"/>
    <w:rsid w:val="00261A40"/>
    <w:rsid w:val="002653BA"/>
    <w:rsid w:val="00281BED"/>
    <w:rsid w:val="00293126"/>
    <w:rsid w:val="0029449D"/>
    <w:rsid w:val="00295294"/>
    <w:rsid w:val="002A10E4"/>
    <w:rsid w:val="002A6412"/>
    <w:rsid w:val="002C181D"/>
    <w:rsid w:val="002C596C"/>
    <w:rsid w:val="002C765A"/>
    <w:rsid w:val="002D3122"/>
    <w:rsid w:val="002E553D"/>
    <w:rsid w:val="003040C1"/>
    <w:rsid w:val="00307C42"/>
    <w:rsid w:val="003177F3"/>
    <w:rsid w:val="00317D32"/>
    <w:rsid w:val="00321BA0"/>
    <w:rsid w:val="00332345"/>
    <w:rsid w:val="00333E78"/>
    <w:rsid w:val="00337A33"/>
    <w:rsid w:val="00340FED"/>
    <w:rsid w:val="00343A3F"/>
    <w:rsid w:val="00346729"/>
    <w:rsid w:val="003526FE"/>
    <w:rsid w:val="0036284A"/>
    <w:rsid w:val="00381B7B"/>
    <w:rsid w:val="00384864"/>
    <w:rsid w:val="003855C2"/>
    <w:rsid w:val="00386374"/>
    <w:rsid w:val="00392BF1"/>
    <w:rsid w:val="00396AEB"/>
    <w:rsid w:val="003A6FE8"/>
    <w:rsid w:val="003A7614"/>
    <w:rsid w:val="003B5633"/>
    <w:rsid w:val="003B674E"/>
    <w:rsid w:val="003B7734"/>
    <w:rsid w:val="003C41B6"/>
    <w:rsid w:val="003C447F"/>
    <w:rsid w:val="003C45C4"/>
    <w:rsid w:val="003C4B74"/>
    <w:rsid w:val="003D03CE"/>
    <w:rsid w:val="003D42AB"/>
    <w:rsid w:val="003D44DD"/>
    <w:rsid w:val="003D7DD6"/>
    <w:rsid w:val="003E390E"/>
    <w:rsid w:val="003E5886"/>
    <w:rsid w:val="0040040A"/>
    <w:rsid w:val="00401283"/>
    <w:rsid w:val="004023C2"/>
    <w:rsid w:val="00410CE5"/>
    <w:rsid w:val="004141BC"/>
    <w:rsid w:val="00422987"/>
    <w:rsid w:val="00433473"/>
    <w:rsid w:val="004619EA"/>
    <w:rsid w:val="004757D9"/>
    <w:rsid w:val="00477C06"/>
    <w:rsid w:val="00482573"/>
    <w:rsid w:val="004907E6"/>
    <w:rsid w:val="004965CB"/>
    <w:rsid w:val="004A3E07"/>
    <w:rsid w:val="004A6E89"/>
    <w:rsid w:val="004B73F1"/>
    <w:rsid w:val="004E219C"/>
    <w:rsid w:val="004E2949"/>
    <w:rsid w:val="004E7E16"/>
    <w:rsid w:val="004F22C7"/>
    <w:rsid w:val="004F3A27"/>
    <w:rsid w:val="005110E5"/>
    <w:rsid w:val="00521C7A"/>
    <w:rsid w:val="00522EF1"/>
    <w:rsid w:val="00535D95"/>
    <w:rsid w:val="00561613"/>
    <w:rsid w:val="00576683"/>
    <w:rsid w:val="00576B21"/>
    <w:rsid w:val="00587ACB"/>
    <w:rsid w:val="005A7CAD"/>
    <w:rsid w:val="005B0DD5"/>
    <w:rsid w:val="005B747B"/>
    <w:rsid w:val="005C00BB"/>
    <w:rsid w:val="005C4542"/>
    <w:rsid w:val="005C665B"/>
    <w:rsid w:val="005C6A07"/>
    <w:rsid w:val="005D4052"/>
    <w:rsid w:val="005D68F4"/>
    <w:rsid w:val="005F4D1F"/>
    <w:rsid w:val="005F78B3"/>
    <w:rsid w:val="0060436A"/>
    <w:rsid w:val="0061040F"/>
    <w:rsid w:val="0061588D"/>
    <w:rsid w:val="00624FB0"/>
    <w:rsid w:val="00660F32"/>
    <w:rsid w:val="006622F0"/>
    <w:rsid w:val="006623CC"/>
    <w:rsid w:val="00664BCE"/>
    <w:rsid w:val="00673B4A"/>
    <w:rsid w:val="006855B2"/>
    <w:rsid w:val="006B2F1D"/>
    <w:rsid w:val="006B3945"/>
    <w:rsid w:val="006C2E82"/>
    <w:rsid w:val="006D1733"/>
    <w:rsid w:val="006E28B9"/>
    <w:rsid w:val="006F4969"/>
    <w:rsid w:val="007001A5"/>
    <w:rsid w:val="00711500"/>
    <w:rsid w:val="00713B1B"/>
    <w:rsid w:val="00713BDB"/>
    <w:rsid w:val="00721D89"/>
    <w:rsid w:val="00726AE5"/>
    <w:rsid w:val="0073011C"/>
    <w:rsid w:val="00732F42"/>
    <w:rsid w:val="00734915"/>
    <w:rsid w:val="00743E81"/>
    <w:rsid w:val="00774985"/>
    <w:rsid w:val="007770AF"/>
    <w:rsid w:val="007877B7"/>
    <w:rsid w:val="007A57CA"/>
    <w:rsid w:val="007C42F2"/>
    <w:rsid w:val="007C5E9D"/>
    <w:rsid w:val="007D0222"/>
    <w:rsid w:val="007D40E4"/>
    <w:rsid w:val="007E3863"/>
    <w:rsid w:val="007E78BB"/>
    <w:rsid w:val="00800CE2"/>
    <w:rsid w:val="00811D75"/>
    <w:rsid w:val="00817476"/>
    <w:rsid w:val="00834996"/>
    <w:rsid w:val="008353FA"/>
    <w:rsid w:val="00835C00"/>
    <w:rsid w:val="00836001"/>
    <w:rsid w:val="00844576"/>
    <w:rsid w:val="00852B39"/>
    <w:rsid w:val="00853BEB"/>
    <w:rsid w:val="00861820"/>
    <w:rsid w:val="0086553C"/>
    <w:rsid w:val="008711EB"/>
    <w:rsid w:val="00871DF9"/>
    <w:rsid w:val="00873E86"/>
    <w:rsid w:val="00874F27"/>
    <w:rsid w:val="0088242B"/>
    <w:rsid w:val="00884345"/>
    <w:rsid w:val="00886501"/>
    <w:rsid w:val="00895267"/>
    <w:rsid w:val="008A191A"/>
    <w:rsid w:val="008B7AF7"/>
    <w:rsid w:val="008E7A3A"/>
    <w:rsid w:val="008F799C"/>
    <w:rsid w:val="008F7A6D"/>
    <w:rsid w:val="009054F2"/>
    <w:rsid w:val="00912870"/>
    <w:rsid w:val="009159E7"/>
    <w:rsid w:val="00915DF2"/>
    <w:rsid w:val="00921334"/>
    <w:rsid w:val="00944FDB"/>
    <w:rsid w:val="009543AC"/>
    <w:rsid w:val="00957ECC"/>
    <w:rsid w:val="00977F2E"/>
    <w:rsid w:val="00980982"/>
    <w:rsid w:val="009840BC"/>
    <w:rsid w:val="009912DB"/>
    <w:rsid w:val="00995B65"/>
    <w:rsid w:val="0099614E"/>
    <w:rsid w:val="009B4B30"/>
    <w:rsid w:val="009C40DE"/>
    <w:rsid w:val="009C5191"/>
    <w:rsid w:val="009C5B79"/>
    <w:rsid w:val="009E04B1"/>
    <w:rsid w:val="009E5B0E"/>
    <w:rsid w:val="009E798D"/>
    <w:rsid w:val="00A05256"/>
    <w:rsid w:val="00A12099"/>
    <w:rsid w:val="00A14809"/>
    <w:rsid w:val="00A235EF"/>
    <w:rsid w:val="00A23CCF"/>
    <w:rsid w:val="00A3486E"/>
    <w:rsid w:val="00A35E61"/>
    <w:rsid w:val="00A45235"/>
    <w:rsid w:val="00A4666B"/>
    <w:rsid w:val="00A46753"/>
    <w:rsid w:val="00A477F8"/>
    <w:rsid w:val="00A51FBC"/>
    <w:rsid w:val="00A57857"/>
    <w:rsid w:val="00A650F6"/>
    <w:rsid w:val="00A734BF"/>
    <w:rsid w:val="00A77040"/>
    <w:rsid w:val="00A80A61"/>
    <w:rsid w:val="00A82E16"/>
    <w:rsid w:val="00A92966"/>
    <w:rsid w:val="00AA2321"/>
    <w:rsid w:val="00AB5C4A"/>
    <w:rsid w:val="00AB6D10"/>
    <w:rsid w:val="00AC2C55"/>
    <w:rsid w:val="00AC2CEF"/>
    <w:rsid w:val="00AC36F2"/>
    <w:rsid w:val="00AF5207"/>
    <w:rsid w:val="00AF67E9"/>
    <w:rsid w:val="00B00999"/>
    <w:rsid w:val="00B03CCC"/>
    <w:rsid w:val="00B06E13"/>
    <w:rsid w:val="00B10C57"/>
    <w:rsid w:val="00B1125F"/>
    <w:rsid w:val="00B216A6"/>
    <w:rsid w:val="00B33A6E"/>
    <w:rsid w:val="00B45E91"/>
    <w:rsid w:val="00B65438"/>
    <w:rsid w:val="00B700DA"/>
    <w:rsid w:val="00B7749E"/>
    <w:rsid w:val="00B82421"/>
    <w:rsid w:val="00B861D9"/>
    <w:rsid w:val="00B877CF"/>
    <w:rsid w:val="00B92E5B"/>
    <w:rsid w:val="00B94202"/>
    <w:rsid w:val="00BA02BD"/>
    <w:rsid w:val="00BA3C4B"/>
    <w:rsid w:val="00BA4375"/>
    <w:rsid w:val="00BB1DF6"/>
    <w:rsid w:val="00BB20B5"/>
    <w:rsid w:val="00BC14C2"/>
    <w:rsid w:val="00BC4625"/>
    <w:rsid w:val="00BD6B6F"/>
    <w:rsid w:val="00BE74C5"/>
    <w:rsid w:val="00BF0DE2"/>
    <w:rsid w:val="00BF34F9"/>
    <w:rsid w:val="00BF4440"/>
    <w:rsid w:val="00C11075"/>
    <w:rsid w:val="00C11731"/>
    <w:rsid w:val="00C232EC"/>
    <w:rsid w:val="00C24DAD"/>
    <w:rsid w:val="00C26727"/>
    <w:rsid w:val="00C35DD9"/>
    <w:rsid w:val="00C41526"/>
    <w:rsid w:val="00C448ED"/>
    <w:rsid w:val="00C47F02"/>
    <w:rsid w:val="00C52E63"/>
    <w:rsid w:val="00C52FE8"/>
    <w:rsid w:val="00C53A84"/>
    <w:rsid w:val="00C53D1E"/>
    <w:rsid w:val="00C55B39"/>
    <w:rsid w:val="00C578A3"/>
    <w:rsid w:val="00C659CB"/>
    <w:rsid w:val="00C6744D"/>
    <w:rsid w:val="00C73F23"/>
    <w:rsid w:val="00C81B8D"/>
    <w:rsid w:val="00C8782A"/>
    <w:rsid w:val="00C91584"/>
    <w:rsid w:val="00C93761"/>
    <w:rsid w:val="00C968F6"/>
    <w:rsid w:val="00CA06ED"/>
    <w:rsid w:val="00CB76CF"/>
    <w:rsid w:val="00CC5981"/>
    <w:rsid w:val="00CE07F1"/>
    <w:rsid w:val="00CE5CB1"/>
    <w:rsid w:val="00CE6960"/>
    <w:rsid w:val="00D114F6"/>
    <w:rsid w:val="00D11808"/>
    <w:rsid w:val="00D252D8"/>
    <w:rsid w:val="00D3024A"/>
    <w:rsid w:val="00D312F2"/>
    <w:rsid w:val="00D32A9F"/>
    <w:rsid w:val="00D4519B"/>
    <w:rsid w:val="00D45C3F"/>
    <w:rsid w:val="00D50FE2"/>
    <w:rsid w:val="00D57790"/>
    <w:rsid w:val="00D64CB9"/>
    <w:rsid w:val="00D66A24"/>
    <w:rsid w:val="00D722AA"/>
    <w:rsid w:val="00D750E0"/>
    <w:rsid w:val="00D76358"/>
    <w:rsid w:val="00D901FA"/>
    <w:rsid w:val="00D93D76"/>
    <w:rsid w:val="00D94485"/>
    <w:rsid w:val="00DA2A33"/>
    <w:rsid w:val="00DA4307"/>
    <w:rsid w:val="00DC1354"/>
    <w:rsid w:val="00DE111A"/>
    <w:rsid w:val="00DE1751"/>
    <w:rsid w:val="00DF46A6"/>
    <w:rsid w:val="00DF7363"/>
    <w:rsid w:val="00E06C90"/>
    <w:rsid w:val="00E1420A"/>
    <w:rsid w:val="00E253D4"/>
    <w:rsid w:val="00E47F74"/>
    <w:rsid w:val="00E538C5"/>
    <w:rsid w:val="00E54752"/>
    <w:rsid w:val="00E55EC7"/>
    <w:rsid w:val="00E57C39"/>
    <w:rsid w:val="00E629A0"/>
    <w:rsid w:val="00E73F00"/>
    <w:rsid w:val="00E76C97"/>
    <w:rsid w:val="00E831AD"/>
    <w:rsid w:val="00E836F0"/>
    <w:rsid w:val="00E83909"/>
    <w:rsid w:val="00E8600E"/>
    <w:rsid w:val="00EA283D"/>
    <w:rsid w:val="00EA6BFA"/>
    <w:rsid w:val="00EB13C9"/>
    <w:rsid w:val="00EB5A9C"/>
    <w:rsid w:val="00ED50FB"/>
    <w:rsid w:val="00ED5C49"/>
    <w:rsid w:val="00ED6948"/>
    <w:rsid w:val="00ED7425"/>
    <w:rsid w:val="00EE27FB"/>
    <w:rsid w:val="00EF440C"/>
    <w:rsid w:val="00F207B6"/>
    <w:rsid w:val="00F2219E"/>
    <w:rsid w:val="00F373A6"/>
    <w:rsid w:val="00F40297"/>
    <w:rsid w:val="00F417B7"/>
    <w:rsid w:val="00F429C6"/>
    <w:rsid w:val="00F43783"/>
    <w:rsid w:val="00F4441C"/>
    <w:rsid w:val="00F46803"/>
    <w:rsid w:val="00F50747"/>
    <w:rsid w:val="00F717B8"/>
    <w:rsid w:val="00F720E0"/>
    <w:rsid w:val="00F75CC8"/>
    <w:rsid w:val="00F947D7"/>
    <w:rsid w:val="00FB2E44"/>
    <w:rsid w:val="00FB3124"/>
    <w:rsid w:val="00FC4606"/>
    <w:rsid w:val="00FC5BA5"/>
    <w:rsid w:val="00FC7A46"/>
    <w:rsid w:val="00FD6A28"/>
    <w:rsid w:val="00FE4396"/>
    <w:rsid w:val="00FE4DA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34"/>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 w:type="character" w:customStyle="1" w:styleId="ui-provider">
    <w:name w:val="ui-provider"/>
    <w:basedOn w:val="DefaultParagraphFont"/>
    <w:rsid w:val="00587ACB"/>
  </w:style>
  <w:style w:type="paragraph" w:styleId="NoSpacing">
    <w:name w:val="No Spacing"/>
    <w:uiPriority w:val="1"/>
    <w:qFormat/>
    <w:rsid w:val="00587ACB"/>
    <w:pPr>
      <w:spacing w:after="0" w:line="240" w:lineRule="auto"/>
    </w:pPr>
  </w:style>
  <w:style w:type="paragraph" w:styleId="Revision">
    <w:name w:val="Revision"/>
    <w:hidden/>
    <w:uiPriority w:val="99"/>
    <w:semiHidden/>
    <w:rsid w:val="00895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7587">
      <w:bodyDiv w:val="1"/>
      <w:marLeft w:val="0"/>
      <w:marRight w:val="0"/>
      <w:marTop w:val="0"/>
      <w:marBottom w:val="0"/>
      <w:divBdr>
        <w:top w:val="none" w:sz="0" w:space="0" w:color="auto"/>
        <w:left w:val="none" w:sz="0" w:space="0" w:color="auto"/>
        <w:bottom w:val="none" w:sz="0" w:space="0" w:color="auto"/>
        <w:right w:val="none" w:sz="0" w:space="0" w:color="auto"/>
      </w:divBdr>
    </w:div>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ric/sorce/beacon/singlepageview.aspx?pii=589&amp;row=5333&amp;SPVPrimaryMenu=5&amp;SPVReferrer=Equality%20and%20Diversit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Layout" Target="diagrams/layout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FFE03-D4EF-46D9-8A84-7E58C7E056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5C36BB2F-50A4-494B-A84D-BF62FC88227F}">
      <dgm:prSet phldrT="[Text]"/>
      <dgm:spPr/>
      <dgm:t>
        <a:bodyPr/>
        <a:lstStyle/>
        <a:p>
          <a:r>
            <a:rPr lang="en-GB">
              <a:latin typeface="Arial" panose="020B0604020202020204" pitchFamily="34" charset="0"/>
              <a:ea typeface="+mn-ea"/>
              <a:cs typeface="Arial" panose="020B0604020202020204" pitchFamily="34" charset="0"/>
            </a:rPr>
            <a:t>Policy and Strategy</a:t>
          </a:r>
          <a:endParaRPr lang="en-GB"/>
        </a:p>
      </dgm:t>
    </dgm:pt>
    <dgm:pt modelId="{0773B0BC-D10F-46E8-A0EB-CC4554204369}" type="parTrans" cxnId="{1730E114-1593-4F24-90E9-721E095A3C76}">
      <dgm:prSet/>
      <dgm:spPr/>
      <dgm:t>
        <a:bodyPr/>
        <a:lstStyle/>
        <a:p>
          <a:endParaRPr lang="en-GB"/>
        </a:p>
      </dgm:t>
    </dgm:pt>
    <dgm:pt modelId="{CB8D4CAB-12E7-4D56-8B3F-8E345FC2F4C7}" type="sibTrans" cxnId="{1730E114-1593-4F24-90E9-721E095A3C76}">
      <dgm:prSet/>
      <dgm:spPr/>
      <dgm:t>
        <a:bodyPr/>
        <a:lstStyle/>
        <a:p>
          <a:endParaRPr lang="en-GB"/>
        </a:p>
      </dgm:t>
    </dgm:pt>
    <dgm:pt modelId="{A871DF22-2731-41F6-BFC7-9651F3A5CEC2}">
      <dgm:prSet phldrT="[Text]"/>
      <dgm:spPr/>
      <dgm:t>
        <a:bodyPr/>
        <a:lstStyle/>
        <a:p>
          <a:r>
            <a:rPr lang="en-GB">
              <a:latin typeface="Arial" panose="020B0604020202020204" pitchFamily="34" charset="0"/>
              <a:ea typeface="+mn-ea"/>
              <a:cs typeface="Arial" panose="020B0604020202020204" pitchFamily="34" charset="0"/>
            </a:rPr>
            <a:t>Joint policy owners</a:t>
          </a:r>
          <a:endParaRPr lang="en-GB"/>
        </a:p>
      </dgm:t>
    </dgm:pt>
    <dgm:pt modelId="{31437729-DBFF-4D51-B877-29E5947CCA75}" type="parTrans" cxnId="{157D5346-C12D-4AE5-840B-2D77B975D9C7}">
      <dgm:prSet/>
      <dgm:spPr/>
      <dgm:t>
        <a:bodyPr/>
        <a:lstStyle/>
        <a:p>
          <a:endParaRPr lang="en-GB"/>
        </a:p>
      </dgm:t>
    </dgm:pt>
    <dgm:pt modelId="{2F875E02-8D61-47A3-97FF-4B9C7F0B0613}" type="sibTrans" cxnId="{157D5346-C12D-4AE5-840B-2D77B975D9C7}">
      <dgm:prSet/>
      <dgm:spPr/>
      <dgm:t>
        <a:bodyPr/>
        <a:lstStyle/>
        <a:p>
          <a:endParaRPr lang="en-GB"/>
        </a:p>
      </dgm:t>
    </dgm:pt>
    <dgm:pt modelId="{2F41200B-B1FE-4BE5-9D9F-0B8EE1791C54}">
      <dgm:prSet phldrT="[Text]"/>
      <dgm:spPr/>
      <dgm:t>
        <a:bodyPr/>
        <a:lstStyle/>
        <a:p>
          <a:r>
            <a:rPr lang="en-GB"/>
            <a:t>Joint policy owners</a:t>
          </a:r>
        </a:p>
      </dgm:t>
    </dgm:pt>
    <dgm:pt modelId="{55781F48-FC58-4C29-A26B-DF8E46E137DF}" type="parTrans" cxnId="{EEFF42F2-3DF1-44F5-9EE4-1A42C3F7F48F}">
      <dgm:prSet/>
      <dgm:spPr/>
      <dgm:t>
        <a:bodyPr/>
        <a:lstStyle/>
        <a:p>
          <a:endParaRPr lang="en-GB"/>
        </a:p>
      </dgm:t>
    </dgm:pt>
    <dgm:pt modelId="{96CE9902-4ED9-48E9-8D25-A78A2658F327}" type="sibTrans" cxnId="{EEFF42F2-3DF1-44F5-9EE4-1A42C3F7F48F}">
      <dgm:prSet/>
      <dgm:spPr/>
      <dgm:t>
        <a:bodyPr/>
        <a:lstStyle/>
        <a:p>
          <a:endParaRPr lang="en-GB"/>
        </a:p>
      </dgm:t>
    </dgm:pt>
    <dgm:pt modelId="{E79E1568-6237-450F-B2E4-1A2EB7EA56BD}">
      <dgm:prSet phldrT="[Text]"/>
      <dgm:spPr/>
      <dgm:t>
        <a:bodyPr/>
        <a:lstStyle/>
        <a:p>
          <a:r>
            <a:rPr lang="en-GB"/>
            <a:t>Finance</a:t>
          </a:r>
        </a:p>
      </dgm:t>
    </dgm:pt>
    <dgm:pt modelId="{B6C1AF60-D95A-4C1A-A3E5-5170AE8F971C}" type="parTrans" cxnId="{0B1A95B3-D9EC-4CBD-957E-B52AABF93EDC}">
      <dgm:prSet/>
      <dgm:spPr/>
      <dgm:t>
        <a:bodyPr/>
        <a:lstStyle/>
        <a:p>
          <a:endParaRPr lang="en-GB"/>
        </a:p>
      </dgm:t>
    </dgm:pt>
    <dgm:pt modelId="{7528C6E2-6BF7-47FE-950D-25F4701D5E48}" type="sibTrans" cxnId="{0B1A95B3-D9EC-4CBD-957E-B52AABF93EDC}">
      <dgm:prSet/>
      <dgm:spPr/>
      <dgm:t>
        <a:bodyPr/>
        <a:lstStyle/>
        <a:p>
          <a:endParaRPr lang="en-GB"/>
        </a:p>
      </dgm:t>
    </dgm:pt>
    <dgm:pt modelId="{69BF9B35-4FE1-4689-BAA7-F11AD2A1DA28}">
      <dgm:prSet phldrT="[Text]"/>
      <dgm:spPr/>
      <dgm:t>
        <a:bodyPr/>
        <a:lstStyle/>
        <a:p>
          <a:r>
            <a:rPr lang="en-GB"/>
            <a:t>Budget setting and cost reviews with budget holders</a:t>
          </a:r>
        </a:p>
      </dgm:t>
    </dgm:pt>
    <dgm:pt modelId="{E41DFA4B-DC20-4830-80E1-6AB5B6847EFE}" type="parTrans" cxnId="{39BB4D82-AC3A-4874-A3B9-3FE5675346EB}">
      <dgm:prSet/>
      <dgm:spPr/>
      <dgm:t>
        <a:bodyPr/>
        <a:lstStyle/>
        <a:p>
          <a:endParaRPr lang="en-GB"/>
        </a:p>
      </dgm:t>
    </dgm:pt>
    <dgm:pt modelId="{EA88BBD5-8053-41E2-970D-3FCA60085BF0}" type="sibTrans" cxnId="{39BB4D82-AC3A-4874-A3B9-3FE5675346EB}">
      <dgm:prSet/>
      <dgm:spPr/>
      <dgm:t>
        <a:bodyPr/>
        <a:lstStyle/>
        <a:p>
          <a:endParaRPr lang="en-GB"/>
        </a:p>
      </dgm:t>
    </dgm:pt>
    <dgm:pt modelId="{1718FB4E-4609-4302-9274-141E87933B6F}">
      <dgm:prSet phldrT="[Text]"/>
      <dgm:spPr/>
      <dgm:t>
        <a:bodyPr/>
        <a:lstStyle/>
        <a:p>
          <a:r>
            <a:rPr lang="en-GB"/>
            <a:t>Support reoslution of complex customer queries</a:t>
          </a:r>
        </a:p>
      </dgm:t>
    </dgm:pt>
    <dgm:pt modelId="{A17C8FC2-1609-4CA0-8710-198ED4791938}" type="parTrans" cxnId="{F1CC0381-247A-49DB-A41C-EAB373751399}">
      <dgm:prSet/>
      <dgm:spPr/>
      <dgm:t>
        <a:bodyPr/>
        <a:lstStyle/>
        <a:p>
          <a:endParaRPr lang="en-GB"/>
        </a:p>
      </dgm:t>
    </dgm:pt>
    <dgm:pt modelId="{2E7B3339-C631-4837-851E-68C68EB888EC}" type="sibTrans" cxnId="{F1CC0381-247A-49DB-A41C-EAB373751399}">
      <dgm:prSet/>
      <dgm:spPr/>
      <dgm:t>
        <a:bodyPr/>
        <a:lstStyle/>
        <a:p>
          <a:endParaRPr lang="en-GB"/>
        </a:p>
      </dgm:t>
    </dgm:pt>
    <dgm:pt modelId="{711336B4-CE67-4350-90E7-179C4FBD3A8A}">
      <dgm:prSet/>
      <dgm:spPr/>
      <dgm:t>
        <a:bodyPr/>
        <a:lstStyle/>
        <a:p>
          <a:r>
            <a:rPr lang="en-GB">
              <a:latin typeface="Arial" panose="020B0604020202020204" pitchFamily="34" charset="0"/>
              <a:ea typeface="+mn-ea"/>
              <a:cs typeface="Arial" panose="020B0604020202020204" pitchFamily="34" charset="0"/>
            </a:rPr>
            <a:t>Lobby government around potential changes in legislation and best practice
To regularly review all legislation that may require changes to the policy and procedures.</a:t>
          </a:r>
          <a:endParaRPr lang="en-GB">
            <a:latin typeface="Arial" panose="020B0604020202020204" pitchFamily="34" charset="0"/>
            <a:cs typeface="Arial" panose="020B0604020202020204" pitchFamily="34" charset="0"/>
          </a:endParaRPr>
        </a:p>
      </dgm:t>
    </dgm:pt>
    <dgm:pt modelId="{CD8B9483-0843-4134-BB39-6FC79F8D1A0C}" type="parTrans" cxnId="{177769EA-B794-49EE-9B4C-BE3B7C2D114C}">
      <dgm:prSet/>
      <dgm:spPr/>
      <dgm:t>
        <a:bodyPr/>
        <a:lstStyle/>
        <a:p>
          <a:endParaRPr lang="en-GB"/>
        </a:p>
      </dgm:t>
    </dgm:pt>
    <dgm:pt modelId="{AF14DFEF-B921-45BC-8645-83D8AC4B739F}" type="sibTrans" cxnId="{177769EA-B794-49EE-9B4C-BE3B7C2D114C}">
      <dgm:prSet/>
      <dgm:spPr/>
      <dgm:t>
        <a:bodyPr/>
        <a:lstStyle/>
        <a:p>
          <a:endParaRPr lang="en-GB"/>
        </a:p>
      </dgm:t>
    </dgm:pt>
    <dgm:pt modelId="{06EC3627-37CC-4FD4-B100-5537C7AA04D9}">
      <dgm:prSet phldrT="[Text]"/>
      <dgm:spPr/>
      <dgm:t>
        <a:bodyPr/>
        <a:lstStyle/>
        <a:p>
          <a:r>
            <a:rPr lang="en-GB"/>
            <a:t>Customer Charges</a:t>
          </a:r>
        </a:p>
      </dgm:t>
    </dgm:pt>
    <dgm:pt modelId="{D35B7223-302A-4B09-9CB1-43F9426DF070}" type="sibTrans" cxnId="{3A44EF54-13A3-48A9-89BF-D6141BCEC700}">
      <dgm:prSet/>
      <dgm:spPr/>
      <dgm:t>
        <a:bodyPr/>
        <a:lstStyle/>
        <a:p>
          <a:endParaRPr lang="en-GB"/>
        </a:p>
      </dgm:t>
    </dgm:pt>
    <dgm:pt modelId="{FE681CDD-E554-4B16-85DC-79992B6A2709}" type="parTrans" cxnId="{3A44EF54-13A3-48A9-89BF-D6141BCEC700}">
      <dgm:prSet/>
      <dgm:spPr/>
      <dgm:t>
        <a:bodyPr/>
        <a:lstStyle/>
        <a:p>
          <a:endParaRPr lang="en-GB"/>
        </a:p>
      </dgm:t>
    </dgm:pt>
    <dgm:pt modelId="{7A1795F0-59DB-4DB9-92F4-E013CA7DF992}">
      <dgm:prSet phldrT="[Text]"/>
      <dgm:spPr/>
      <dgm:t>
        <a:bodyPr/>
        <a:lstStyle/>
        <a:p>
          <a:r>
            <a:rPr lang="en-GB"/>
            <a:t>Production of customer communication</a:t>
          </a:r>
        </a:p>
      </dgm:t>
    </dgm:pt>
    <dgm:pt modelId="{80A509CC-A7E8-4E8F-8026-F40EA9C5C183}" type="parTrans" cxnId="{3D64C792-EA95-48EB-B454-EB03A50A26A2}">
      <dgm:prSet/>
      <dgm:spPr/>
      <dgm:t>
        <a:bodyPr/>
        <a:lstStyle/>
        <a:p>
          <a:endParaRPr lang="en-GB"/>
        </a:p>
      </dgm:t>
    </dgm:pt>
    <dgm:pt modelId="{10076210-7FF4-4D86-8E03-AADEB1DBCAFB}" type="sibTrans" cxnId="{3D64C792-EA95-48EB-B454-EB03A50A26A2}">
      <dgm:prSet/>
      <dgm:spPr/>
      <dgm:t>
        <a:bodyPr/>
        <a:lstStyle/>
        <a:p>
          <a:endParaRPr lang="en-GB"/>
        </a:p>
      </dgm:t>
    </dgm:pt>
    <dgm:pt modelId="{75E80E57-F810-4237-A066-E914777E51A2}">
      <dgm:prSet phldrT="[Text]"/>
      <dgm:spPr/>
      <dgm:t>
        <a:bodyPr/>
        <a:lstStyle/>
        <a:p>
          <a:r>
            <a:rPr lang="en-GB"/>
            <a:t>Ensure the accuracy of the charges are in line with the Occupancy Agreement</a:t>
          </a:r>
        </a:p>
      </dgm:t>
    </dgm:pt>
    <dgm:pt modelId="{4F8B48E7-987A-482A-974F-890986E5225E}" type="parTrans" cxnId="{D507D31A-64DB-4DCE-BA8C-187B10839D61}">
      <dgm:prSet/>
      <dgm:spPr/>
      <dgm:t>
        <a:bodyPr/>
        <a:lstStyle/>
        <a:p>
          <a:endParaRPr lang="en-GB"/>
        </a:p>
      </dgm:t>
    </dgm:pt>
    <dgm:pt modelId="{351EED4E-6757-49F4-A072-FFE13E3FBCBB}" type="sibTrans" cxnId="{D507D31A-64DB-4DCE-BA8C-187B10839D61}">
      <dgm:prSet/>
      <dgm:spPr/>
      <dgm:t>
        <a:bodyPr/>
        <a:lstStyle/>
        <a:p>
          <a:endParaRPr lang="en-GB"/>
        </a:p>
      </dgm:t>
    </dgm:pt>
    <dgm:pt modelId="{AC87B415-79C8-4227-B6AD-A2D188E13C88}">
      <dgm:prSet/>
      <dgm:spPr/>
      <dgm:t>
        <a:bodyPr/>
        <a:lstStyle/>
        <a:p>
          <a:r>
            <a:rPr lang="en-GB"/>
            <a:t>Regulary review all legislation and make changes to the policy and procedures</a:t>
          </a:r>
        </a:p>
      </dgm:t>
    </dgm:pt>
    <dgm:pt modelId="{BE90A318-E2AD-40DA-B9AF-9815DDD2362F}" type="parTrans" cxnId="{95AD4842-2C72-4EE8-B6FD-2DE89F87B367}">
      <dgm:prSet/>
      <dgm:spPr/>
      <dgm:t>
        <a:bodyPr/>
        <a:lstStyle/>
        <a:p>
          <a:endParaRPr lang="en-GB"/>
        </a:p>
      </dgm:t>
    </dgm:pt>
    <dgm:pt modelId="{F782BB49-C3C3-4CDE-A4FF-55D4F5A74C29}" type="sibTrans" cxnId="{95AD4842-2C72-4EE8-B6FD-2DE89F87B367}">
      <dgm:prSet/>
      <dgm:spPr/>
      <dgm:t>
        <a:bodyPr/>
        <a:lstStyle/>
        <a:p>
          <a:endParaRPr lang="en-GB"/>
        </a:p>
      </dgm:t>
    </dgm:pt>
    <dgm:pt modelId="{CA44842A-7BDD-46A9-8EC9-0BF54C170D16}">
      <dgm:prSet/>
      <dgm:spPr/>
      <dgm:t>
        <a:bodyPr/>
        <a:lstStyle/>
        <a:p>
          <a:r>
            <a:rPr lang="en-GB"/>
            <a:t>Production of customer communication</a:t>
          </a:r>
        </a:p>
      </dgm:t>
    </dgm:pt>
    <dgm:pt modelId="{BD88A9CB-4B7D-4A3C-B66A-099D9C3B74DE}" type="parTrans" cxnId="{9118E26E-459B-468A-A43A-65A01EF83FE0}">
      <dgm:prSet/>
      <dgm:spPr/>
      <dgm:t>
        <a:bodyPr/>
        <a:lstStyle/>
        <a:p>
          <a:endParaRPr lang="en-GB"/>
        </a:p>
      </dgm:t>
    </dgm:pt>
    <dgm:pt modelId="{72EAD403-5AB0-4E26-BA5C-0E6700DC7314}" type="sibTrans" cxnId="{9118E26E-459B-468A-A43A-65A01EF83FE0}">
      <dgm:prSet/>
      <dgm:spPr/>
      <dgm:t>
        <a:bodyPr/>
        <a:lstStyle/>
        <a:p>
          <a:endParaRPr lang="en-GB"/>
        </a:p>
      </dgm:t>
    </dgm:pt>
    <dgm:pt modelId="{BA6450F8-85EB-48CE-A42D-179E9BDDE199}">
      <dgm:prSet/>
      <dgm:spPr/>
      <dgm:t>
        <a:bodyPr/>
        <a:lstStyle/>
        <a:p>
          <a:r>
            <a:rPr lang="en-GB"/>
            <a:t>Support resolution of complex customer queries</a:t>
          </a:r>
        </a:p>
      </dgm:t>
    </dgm:pt>
    <dgm:pt modelId="{82FD881F-ECBE-4210-A06A-DF5FC5208E04}" type="parTrans" cxnId="{05D0F8C3-4F25-4418-A38B-55635B515E0D}">
      <dgm:prSet/>
      <dgm:spPr/>
      <dgm:t>
        <a:bodyPr/>
        <a:lstStyle/>
        <a:p>
          <a:endParaRPr lang="en-GB"/>
        </a:p>
      </dgm:t>
    </dgm:pt>
    <dgm:pt modelId="{58628D90-DF77-4488-8A3B-F0D4F36B36BD}" type="sibTrans" cxnId="{05D0F8C3-4F25-4418-A38B-55635B515E0D}">
      <dgm:prSet/>
      <dgm:spPr/>
      <dgm:t>
        <a:bodyPr/>
        <a:lstStyle/>
        <a:p>
          <a:endParaRPr lang="en-GB"/>
        </a:p>
      </dgm:t>
    </dgm:pt>
    <dgm:pt modelId="{558C0EFF-456B-420A-8333-DA304854A742}">
      <dgm:prSet/>
      <dgm:spPr/>
      <dgm:t>
        <a:bodyPr/>
        <a:lstStyle/>
        <a:p>
          <a:r>
            <a:rPr lang="en-GB"/>
            <a:t>Asset Services</a:t>
          </a:r>
        </a:p>
      </dgm:t>
    </dgm:pt>
    <dgm:pt modelId="{DE002D8E-7E3E-4DDD-B7C1-63BB00109E27}" type="parTrans" cxnId="{D828D749-4C6C-4788-8E8F-1323990592B3}">
      <dgm:prSet/>
      <dgm:spPr/>
      <dgm:t>
        <a:bodyPr/>
        <a:lstStyle/>
        <a:p>
          <a:endParaRPr lang="en-GB"/>
        </a:p>
      </dgm:t>
    </dgm:pt>
    <dgm:pt modelId="{A27F9D74-1DE9-4427-872A-8D2AB28A7446}" type="sibTrans" cxnId="{D828D749-4C6C-4788-8E8F-1323990592B3}">
      <dgm:prSet/>
      <dgm:spPr/>
      <dgm:t>
        <a:bodyPr/>
        <a:lstStyle/>
        <a:p>
          <a:endParaRPr lang="en-GB"/>
        </a:p>
      </dgm:t>
    </dgm:pt>
    <dgm:pt modelId="{51697981-11A8-4E76-BC8E-0D82B6BD97E4}">
      <dgm:prSet/>
      <dgm:spPr/>
      <dgm:t>
        <a:bodyPr/>
        <a:lstStyle/>
        <a:p>
          <a:r>
            <a:rPr lang="en-GB"/>
            <a:t>Front Line Teams</a:t>
          </a:r>
        </a:p>
      </dgm:t>
    </dgm:pt>
    <dgm:pt modelId="{ADDFEC54-D158-4163-94EB-2802CB9F91B3}" type="parTrans" cxnId="{4C19B78A-020E-43D6-B94D-A0760BFB27AD}">
      <dgm:prSet/>
      <dgm:spPr/>
      <dgm:t>
        <a:bodyPr/>
        <a:lstStyle/>
        <a:p>
          <a:endParaRPr lang="en-GB"/>
        </a:p>
      </dgm:t>
    </dgm:pt>
    <dgm:pt modelId="{88054DB3-D966-426E-B4FA-FD83E92E7A78}" type="sibTrans" cxnId="{4C19B78A-020E-43D6-B94D-A0760BFB27AD}">
      <dgm:prSet/>
      <dgm:spPr/>
      <dgm:t>
        <a:bodyPr/>
        <a:lstStyle/>
        <a:p>
          <a:endParaRPr lang="en-GB"/>
        </a:p>
      </dgm:t>
    </dgm:pt>
    <dgm:pt modelId="{C916C76F-80C4-43D0-8E4D-FA2A51484CE0}">
      <dgm:prSet/>
      <dgm:spPr/>
      <dgm:t>
        <a:bodyPr/>
        <a:lstStyle/>
        <a:p>
          <a:r>
            <a:rPr lang="en-GB">
              <a:latin typeface="Calibri" panose="020F0502020204030204"/>
              <a:ea typeface="+mn-ea"/>
              <a:cs typeface="+mn-cs"/>
            </a:rPr>
            <a:t>Ensure chargeable services procured by Assets are fair and reasonable</a:t>
          </a:r>
          <a:endParaRPr lang="en-GB"/>
        </a:p>
      </dgm:t>
    </dgm:pt>
    <dgm:pt modelId="{8A01A364-6CB1-4C3A-A533-066E753F05FD}" type="parTrans" cxnId="{C925CE94-E6D0-46D9-A884-602F07A2358B}">
      <dgm:prSet/>
      <dgm:spPr/>
      <dgm:t>
        <a:bodyPr/>
        <a:lstStyle/>
        <a:p>
          <a:endParaRPr lang="en-GB"/>
        </a:p>
      </dgm:t>
    </dgm:pt>
    <dgm:pt modelId="{2E936DF0-DC4B-45E7-9AE5-A52F13A1B23B}" type="sibTrans" cxnId="{C925CE94-E6D0-46D9-A884-602F07A2358B}">
      <dgm:prSet/>
      <dgm:spPr/>
      <dgm:t>
        <a:bodyPr/>
        <a:lstStyle/>
        <a:p>
          <a:endParaRPr lang="en-GB"/>
        </a:p>
      </dgm:t>
    </dgm:pt>
    <dgm:pt modelId="{505A525F-5D46-4F18-9F2D-82F831E7CEB8}">
      <dgm:prSet/>
      <dgm:spPr/>
      <dgm:t>
        <a:bodyPr/>
        <a:lstStyle/>
        <a:p>
          <a:r>
            <a:rPr lang="en-GB">
              <a:latin typeface="Calibri" panose="020F0502020204030204"/>
              <a:ea typeface="+mn-ea"/>
              <a:cs typeface="+mn-cs"/>
            </a:rPr>
            <a:t>Ensure cheargeable services procured by front line teams are fair and reasonable </a:t>
          </a:r>
          <a:endParaRPr lang="en-GB"/>
        </a:p>
      </dgm:t>
    </dgm:pt>
    <dgm:pt modelId="{3396CED1-AE75-4687-92CA-EF926C5B417C}" type="parTrans" cxnId="{1BB29251-883A-4A11-A856-9D6FCD67B972}">
      <dgm:prSet/>
      <dgm:spPr/>
      <dgm:t>
        <a:bodyPr/>
        <a:lstStyle/>
        <a:p>
          <a:endParaRPr lang="en-GB"/>
        </a:p>
      </dgm:t>
    </dgm:pt>
    <dgm:pt modelId="{E9483C13-C65E-4551-907A-9B02F8FA88BF}" type="sibTrans" cxnId="{1BB29251-883A-4A11-A856-9D6FCD67B972}">
      <dgm:prSet/>
      <dgm:spPr/>
      <dgm:t>
        <a:bodyPr/>
        <a:lstStyle/>
        <a:p>
          <a:endParaRPr lang="en-GB"/>
        </a:p>
      </dgm:t>
    </dgm:pt>
    <dgm:pt modelId="{91306D89-99B4-4876-A648-59BE224FA96E}">
      <dgm:prSet/>
      <dgm:spPr/>
      <dgm:t>
        <a:bodyPr/>
        <a:lstStyle/>
        <a:p>
          <a:r>
            <a:rPr lang="en-GB">
              <a:latin typeface="Calibri" panose="020F0502020204030204"/>
              <a:ea typeface="+mn-ea"/>
              <a:cs typeface="+mn-cs"/>
            </a:rPr>
            <a:t>Ensure customers are consulted on any changes to costs/services through formal section 20 process</a:t>
          </a:r>
        </a:p>
      </dgm:t>
    </dgm:pt>
    <dgm:pt modelId="{7F563F52-6967-401A-B84A-CB882772AEB8}" type="parTrans" cxnId="{4E55D07A-4340-4C1F-A5E2-AE7FD735A09E}">
      <dgm:prSet/>
      <dgm:spPr/>
      <dgm:t>
        <a:bodyPr/>
        <a:lstStyle/>
        <a:p>
          <a:endParaRPr lang="en-GB"/>
        </a:p>
      </dgm:t>
    </dgm:pt>
    <dgm:pt modelId="{D730CD77-AA7F-4062-94A3-28C1F6731467}" type="sibTrans" cxnId="{4E55D07A-4340-4C1F-A5E2-AE7FD735A09E}">
      <dgm:prSet/>
      <dgm:spPr/>
      <dgm:t>
        <a:bodyPr/>
        <a:lstStyle/>
        <a:p>
          <a:endParaRPr lang="en-GB"/>
        </a:p>
      </dgm:t>
    </dgm:pt>
    <dgm:pt modelId="{2B300F23-A959-494C-A078-396348FF057C}">
      <dgm:prSet/>
      <dgm:spPr/>
      <dgm:t>
        <a:bodyPr/>
        <a:lstStyle/>
        <a:p>
          <a:r>
            <a:rPr lang="en-GB">
              <a:latin typeface="Calibri" panose="020F0502020204030204"/>
              <a:ea typeface="+mn-ea"/>
              <a:cs typeface="+mn-cs"/>
            </a:rPr>
            <a:t>Support resolution of complex customer queries</a:t>
          </a:r>
        </a:p>
      </dgm:t>
    </dgm:pt>
    <dgm:pt modelId="{7DE31C27-EE68-49B1-9D2F-1CBAC638CA69}" type="parTrans" cxnId="{5A5A8AC9-B76F-46F6-BDB2-6335D56163E3}">
      <dgm:prSet/>
      <dgm:spPr/>
      <dgm:t>
        <a:bodyPr/>
        <a:lstStyle/>
        <a:p>
          <a:endParaRPr lang="en-GB"/>
        </a:p>
      </dgm:t>
    </dgm:pt>
    <dgm:pt modelId="{FEC918A6-E887-4307-A9B6-AD75752CB443}" type="sibTrans" cxnId="{5A5A8AC9-B76F-46F6-BDB2-6335D56163E3}">
      <dgm:prSet/>
      <dgm:spPr/>
      <dgm:t>
        <a:bodyPr/>
        <a:lstStyle/>
        <a:p>
          <a:endParaRPr lang="en-GB"/>
        </a:p>
      </dgm:t>
    </dgm:pt>
    <dgm:pt modelId="{3389D7DA-1E20-4023-8A3C-550270719E7E}">
      <dgm:prSet/>
      <dgm:spPr/>
      <dgm:t>
        <a:bodyPr/>
        <a:lstStyle/>
        <a:p>
          <a:r>
            <a:rPr lang="en-GB">
              <a:latin typeface="Calibri" panose="020F0502020204030204"/>
              <a:ea typeface="+mn-ea"/>
              <a:cs typeface="+mn-cs"/>
            </a:rPr>
            <a:t>Set and regulary review budgets and actual spend</a:t>
          </a:r>
        </a:p>
      </dgm:t>
    </dgm:pt>
    <dgm:pt modelId="{49676DC6-9888-4FE2-B37B-814D69D3F7B1}" type="parTrans" cxnId="{F93E7101-359F-4246-A61C-C1D4E16B0513}">
      <dgm:prSet/>
      <dgm:spPr/>
      <dgm:t>
        <a:bodyPr/>
        <a:lstStyle/>
        <a:p>
          <a:endParaRPr lang="en-GB"/>
        </a:p>
      </dgm:t>
    </dgm:pt>
    <dgm:pt modelId="{147076EE-1A87-468A-A10D-367EE826D73A}" type="sibTrans" cxnId="{F93E7101-359F-4246-A61C-C1D4E16B0513}">
      <dgm:prSet/>
      <dgm:spPr/>
      <dgm:t>
        <a:bodyPr/>
        <a:lstStyle/>
        <a:p>
          <a:endParaRPr lang="en-GB"/>
        </a:p>
      </dgm:t>
    </dgm:pt>
    <dgm:pt modelId="{3429B9BC-0B15-46DE-9C03-EDC91A2E5F6E}">
      <dgm:prSet/>
      <dgm:spPr/>
      <dgm:t>
        <a:bodyPr/>
        <a:lstStyle/>
        <a:p>
          <a:endParaRPr lang="en-GB"/>
        </a:p>
      </dgm:t>
    </dgm:pt>
    <dgm:pt modelId="{4F0113B8-306C-4871-B0E3-F4340C4F65D2}" type="parTrans" cxnId="{E1B6901C-5072-411B-BA2F-C2E45FE86A15}">
      <dgm:prSet/>
      <dgm:spPr/>
      <dgm:t>
        <a:bodyPr/>
        <a:lstStyle/>
        <a:p>
          <a:endParaRPr lang="en-GB"/>
        </a:p>
      </dgm:t>
    </dgm:pt>
    <dgm:pt modelId="{C6E9A4DF-1714-42B0-A53D-28581FE5AEB5}" type="sibTrans" cxnId="{E1B6901C-5072-411B-BA2F-C2E45FE86A15}">
      <dgm:prSet/>
      <dgm:spPr/>
      <dgm:t>
        <a:bodyPr/>
        <a:lstStyle/>
        <a:p>
          <a:endParaRPr lang="en-GB"/>
        </a:p>
      </dgm:t>
    </dgm:pt>
    <dgm:pt modelId="{98067089-1075-46DA-80EF-6D5EE68C4B45}">
      <dgm:prSet/>
      <dgm:spPr/>
      <dgm:t>
        <a:bodyPr/>
        <a:lstStyle/>
        <a:p>
          <a:r>
            <a:rPr lang="en-GB"/>
            <a:t>Customer Service Centre</a:t>
          </a:r>
        </a:p>
      </dgm:t>
    </dgm:pt>
    <dgm:pt modelId="{B95F50F0-6A74-49F9-991D-DF866B8E697E}" type="parTrans" cxnId="{AF146A7A-198C-462D-A93E-3BF37AC7C2E8}">
      <dgm:prSet/>
      <dgm:spPr/>
      <dgm:t>
        <a:bodyPr/>
        <a:lstStyle/>
        <a:p>
          <a:endParaRPr lang="en-GB"/>
        </a:p>
      </dgm:t>
    </dgm:pt>
    <dgm:pt modelId="{9976F1AB-4043-414F-9BCE-956AAA073A66}" type="sibTrans" cxnId="{AF146A7A-198C-462D-A93E-3BF37AC7C2E8}">
      <dgm:prSet/>
      <dgm:spPr/>
      <dgm:t>
        <a:bodyPr/>
        <a:lstStyle/>
        <a:p>
          <a:endParaRPr lang="en-GB"/>
        </a:p>
      </dgm:t>
    </dgm:pt>
    <dgm:pt modelId="{EFB27705-B862-4A17-A265-2F41603895F6}">
      <dgm:prSet/>
      <dgm:spPr/>
      <dgm:t>
        <a:bodyPr/>
        <a:lstStyle/>
        <a:p>
          <a:r>
            <a:rPr lang="en-GB">
              <a:latin typeface="Calibri" panose="020F0502020204030204"/>
              <a:ea typeface="+mn-ea"/>
              <a:cs typeface="+mn-cs"/>
            </a:rPr>
            <a:t>Ensure customers are consulted on any changes to costs/services through formal section 20 process</a:t>
          </a:r>
        </a:p>
      </dgm:t>
    </dgm:pt>
    <dgm:pt modelId="{708D2402-8DB2-4B42-9CA1-88718B6C83F5}" type="parTrans" cxnId="{A91A332A-DB75-4ADD-B21D-730CCCFEF95F}">
      <dgm:prSet/>
      <dgm:spPr/>
      <dgm:t>
        <a:bodyPr/>
        <a:lstStyle/>
        <a:p>
          <a:endParaRPr lang="en-GB"/>
        </a:p>
      </dgm:t>
    </dgm:pt>
    <dgm:pt modelId="{20E3B36F-9006-4198-86AF-03C3A3FC6205}" type="sibTrans" cxnId="{A91A332A-DB75-4ADD-B21D-730CCCFEF95F}">
      <dgm:prSet/>
      <dgm:spPr/>
      <dgm:t>
        <a:bodyPr/>
        <a:lstStyle/>
        <a:p>
          <a:endParaRPr lang="en-GB"/>
        </a:p>
      </dgm:t>
    </dgm:pt>
    <dgm:pt modelId="{586581CD-1818-4C05-8E64-3F62AABE4181}">
      <dgm:prSet/>
      <dgm:spPr/>
      <dgm:t>
        <a:bodyPr/>
        <a:lstStyle/>
        <a:p>
          <a:r>
            <a:rPr lang="en-GB">
              <a:latin typeface="Calibri" panose="020F0502020204030204"/>
              <a:ea typeface="+mn-ea"/>
              <a:cs typeface="+mn-cs"/>
            </a:rPr>
            <a:t>Support resolution of customer queries</a:t>
          </a:r>
        </a:p>
      </dgm:t>
    </dgm:pt>
    <dgm:pt modelId="{0FF36D1C-919B-4F93-84DB-8C0755370213}" type="parTrans" cxnId="{4CC44A4B-92C1-458D-BC6C-D5109854D00C}">
      <dgm:prSet/>
      <dgm:spPr/>
      <dgm:t>
        <a:bodyPr/>
        <a:lstStyle/>
        <a:p>
          <a:endParaRPr lang="en-GB"/>
        </a:p>
      </dgm:t>
    </dgm:pt>
    <dgm:pt modelId="{16D0D75A-54C7-468C-9ECF-6FFBC64E9F70}" type="sibTrans" cxnId="{4CC44A4B-92C1-458D-BC6C-D5109854D00C}">
      <dgm:prSet/>
      <dgm:spPr/>
      <dgm:t>
        <a:bodyPr/>
        <a:lstStyle/>
        <a:p>
          <a:endParaRPr lang="en-GB"/>
        </a:p>
      </dgm:t>
    </dgm:pt>
    <dgm:pt modelId="{F987AF9B-CAE0-46D3-BEEA-80B314A82298}">
      <dgm:prSet/>
      <dgm:spPr/>
      <dgm:t>
        <a:bodyPr/>
        <a:lstStyle/>
        <a:p>
          <a:r>
            <a:rPr lang="en-GB">
              <a:latin typeface="Calibri" panose="020F0502020204030204"/>
              <a:ea typeface="+mn-ea"/>
              <a:cs typeface="+mn-cs"/>
            </a:rPr>
            <a:t>Ensure customer queries are resolved at first point of contact, where possible, or routed to the correct team to resolve</a:t>
          </a:r>
        </a:p>
      </dgm:t>
    </dgm:pt>
    <dgm:pt modelId="{A25F99CB-2F46-4082-9B89-08B12ABDB3DE}" type="parTrans" cxnId="{384CD79C-D08F-48D5-97C3-F0A064D911B3}">
      <dgm:prSet/>
      <dgm:spPr/>
      <dgm:t>
        <a:bodyPr/>
        <a:lstStyle/>
        <a:p>
          <a:endParaRPr lang="en-GB"/>
        </a:p>
      </dgm:t>
    </dgm:pt>
    <dgm:pt modelId="{F326DD5E-43F5-4F36-B648-F8A2F3C841CF}" type="sibTrans" cxnId="{384CD79C-D08F-48D5-97C3-F0A064D911B3}">
      <dgm:prSet/>
      <dgm:spPr/>
      <dgm:t>
        <a:bodyPr/>
        <a:lstStyle/>
        <a:p>
          <a:endParaRPr lang="en-GB"/>
        </a:p>
      </dgm:t>
    </dgm:pt>
    <dgm:pt modelId="{6B5E5BCD-9C7C-42A5-8A57-C3A54B317BD7}">
      <dgm:prSet/>
      <dgm:spPr/>
      <dgm:t>
        <a:bodyPr/>
        <a:lstStyle/>
        <a:p>
          <a:endParaRPr lang="en-GB"/>
        </a:p>
      </dgm:t>
    </dgm:pt>
    <dgm:pt modelId="{90D9FE29-1661-489A-A65B-60BEA93AF621}" type="parTrans" cxnId="{AC465913-8767-4650-8AF2-C5E15B4DDB3B}">
      <dgm:prSet/>
      <dgm:spPr/>
      <dgm:t>
        <a:bodyPr/>
        <a:lstStyle/>
        <a:p>
          <a:endParaRPr lang="en-GB"/>
        </a:p>
      </dgm:t>
    </dgm:pt>
    <dgm:pt modelId="{9EF4E650-DC66-4E2E-8D7B-38F8386B06D7}" type="sibTrans" cxnId="{AC465913-8767-4650-8AF2-C5E15B4DDB3B}">
      <dgm:prSet/>
      <dgm:spPr/>
      <dgm:t>
        <a:bodyPr/>
        <a:lstStyle/>
        <a:p>
          <a:endParaRPr lang="en-GB"/>
        </a:p>
      </dgm:t>
    </dgm:pt>
    <dgm:pt modelId="{437AB3C3-205A-417B-B038-B9D873417214}">
      <dgm:prSet/>
      <dgm:spPr/>
      <dgm:t>
        <a:bodyPr/>
        <a:lstStyle/>
        <a:p>
          <a:r>
            <a:rPr lang="en-GB"/>
            <a:t>Development</a:t>
          </a:r>
        </a:p>
      </dgm:t>
    </dgm:pt>
    <dgm:pt modelId="{3324F165-F20F-43AC-BD67-4C412B10EDEB}" type="parTrans" cxnId="{655DED79-1EE1-4CF3-AA47-04D1F197C072}">
      <dgm:prSet/>
      <dgm:spPr/>
      <dgm:t>
        <a:bodyPr/>
        <a:lstStyle/>
        <a:p>
          <a:endParaRPr lang="en-GB"/>
        </a:p>
      </dgm:t>
    </dgm:pt>
    <dgm:pt modelId="{056131DC-7652-4364-A57C-6C7E45B39873}" type="sibTrans" cxnId="{655DED79-1EE1-4CF3-AA47-04D1F197C072}">
      <dgm:prSet/>
      <dgm:spPr/>
      <dgm:t>
        <a:bodyPr/>
        <a:lstStyle/>
        <a:p>
          <a:endParaRPr lang="en-GB"/>
        </a:p>
      </dgm:t>
    </dgm:pt>
    <dgm:pt modelId="{7002C0FC-8B25-42BC-870B-DB5FD241C29F}">
      <dgm:prSet/>
      <dgm:spPr/>
      <dgm:t>
        <a:bodyPr/>
        <a:lstStyle/>
        <a:p>
          <a:r>
            <a:rPr lang="en-GB">
              <a:latin typeface="Calibri" panose="020F0502020204030204"/>
              <a:ea typeface="+mn-ea"/>
              <a:cs typeface="+mn-cs"/>
            </a:rPr>
            <a:t>Ensure all new developments are built with service charges designed appropriately</a:t>
          </a:r>
        </a:p>
      </dgm:t>
    </dgm:pt>
    <dgm:pt modelId="{AAD086B1-BE13-4535-8AD2-9B89563CEB6D}" type="parTrans" cxnId="{5A1C2E98-AE05-4231-9A8C-DCA60F174770}">
      <dgm:prSet/>
      <dgm:spPr/>
      <dgm:t>
        <a:bodyPr/>
        <a:lstStyle/>
        <a:p>
          <a:endParaRPr lang="en-GB"/>
        </a:p>
      </dgm:t>
    </dgm:pt>
    <dgm:pt modelId="{89DDD1FC-6E4F-41C1-88E2-8EC931358075}" type="sibTrans" cxnId="{5A1C2E98-AE05-4231-9A8C-DCA60F174770}">
      <dgm:prSet/>
      <dgm:spPr/>
      <dgm:t>
        <a:bodyPr/>
        <a:lstStyle/>
        <a:p>
          <a:endParaRPr lang="en-GB"/>
        </a:p>
      </dgm:t>
    </dgm:pt>
    <dgm:pt modelId="{BF777A2F-2E1F-41A5-9D6B-3454C372694C}">
      <dgm:prSet/>
      <dgm:spPr/>
      <dgm:t>
        <a:bodyPr/>
        <a:lstStyle/>
        <a:p>
          <a:r>
            <a:rPr lang="en-GB">
              <a:latin typeface="Calibri" panose="020F0502020204030204"/>
              <a:ea typeface="+mn-ea"/>
              <a:cs typeface="+mn-cs"/>
            </a:rPr>
            <a:t>Ensure all service charges are calculated and are included in the property hand over</a:t>
          </a:r>
        </a:p>
      </dgm:t>
    </dgm:pt>
    <dgm:pt modelId="{085F2B3C-9EA0-4238-A7B0-70A1985664F3}" type="parTrans" cxnId="{9C5A2890-A023-4964-ACC6-FFC32FB78583}">
      <dgm:prSet/>
      <dgm:spPr/>
      <dgm:t>
        <a:bodyPr/>
        <a:lstStyle/>
        <a:p>
          <a:endParaRPr lang="en-GB"/>
        </a:p>
      </dgm:t>
    </dgm:pt>
    <dgm:pt modelId="{D85E4A9F-6837-4574-BA98-BA48C743F147}" type="sibTrans" cxnId="{9C5A2890-A023-4964-ACC6-FFC32FB78583}">
      <dgm:prSet/>
      <dgm:spPr/>
      <dgm:t>
        <a:bodyPr/>
        <a:lstStyle/>
        <a:p>
          <a:endParaRPr lang="en-GB"/>
        </a:p>
      </dgm:t>
    </dgm:pt>
    <dgm:pt modelId="{EE45627E-D143-4A4A-B759-5821F06234F5}">
      <dgm:prSet phldrT="[Text]"/>
      <dgm:spPr/>
      <dgm:t>
        <a:bodyPr/>
        <a:lstStyle/>
        <a:p>
          <a:r>
            <a:rPr lang="en-GB"/>
            <a:t>Ensure systems set up accurately reflect the service charge apportionment rules</a:t>
          </a:r>
        </a:p>
      </dgm:t>
    </dgm:pt>
    <dgm:pt modelId="{31570D38-E9A4-40BD-8898-4B8B86A16E6D}" type="parTrans" cxnId="{5AFC2B6A-FEDB-48EE-AC27-E8B8E19E9BF9}">
      <dgm:prSet/>
      <dgm:spPr/>
      <dgm:t>
        <a:bodyPr/>
        <a:lstStyle/>
        <a:p>
          <a:endParaRPr lang="en-GB"/>
        </a:p>
      </dgm:t>
    </dgm:pt>
    <dgm:pt modelId="{D781DDC9-CB8B-4BBC-92B4-FA1E1DA79DE9}" type="sibTrans" cxnId="{5AFC2B6A-FEDB-48EE-AC27-E8B8E19E9BF9}">
      <dgm:prSet/>
      <dgm:spPr/>
      <dgm:t>
        <a:bodyPr/>
        <a:lstStyle/>
        <a:p>
          <a:endParaRPr lang="en-GB"/>
        </a:p>
      </dgm:t>
    </dgm:pt>
    <dgm:pt modelId="{D3F9FDB4-315D-409B-B298-79524338A2BC}">
      <dgm:prSet/>
      <dgm:spPr/>
      <dgm:t>
        <a:bodyPr/>
        <a:lstStyle/>
        <a:p>
          <a:r>
            <a:rPr lang="en-GB">
              <a:latin typeface="Calibri" panose="020F0502020204030204"/>
              <a:ea typeface="+mn-ea"/>
              <a:cs typeface="+mn-cs"/>
            </a:rPr>
            <a:t>Inform the accurate apportionment of service charges of new services</a:t>
          </a:r>
        </a:p>
      </dgm:t>
    </dgm:pt>
    <dgm:pt modelId="{A681FA49-E140-4264-8425-F0A988E1E47F}" type="parTrans" cxnId="{1AD924B3-6BC9-42A5-A081-6CDC50049EC3}">
      <dgm:prSet/>
      <dgm:spPr/>
      <dgm:t>
        <a:bodyPr/>
        <a:lstStyle/>
        <a:p>
          <a:endParaRPr lang="en-GB"/>
        </a:p>
      </dgm:t>
    </dgm:pt>
    <dgm:pt modelId="{25B35BCE-4E91-431D-AC45-66AE5B37AB9A}" type="sibTrans" cxnId="{1AD924B3-6BC9-42A5-A081-6CDC50049EC3}">
      <dgm:prSet/>
      <dgm:spPr/>
      <dgm:t>
        <a:bodyPr/>
        <a:lstStyle/>
        <a:p>
          <a:endParaRPr lang="en-GB"/>
        </a:p>
      </dgm:t>
    </dgm:pt>
    <dgm:pt modelId="{808BA5E3-9D9E-4AA3-A913-4D33B6CC1AD8}">
      <dgm:prSet/>
      <dgm:spPr/>
      <dgm:t>
        <a:bodyPr/>
        <a:lstStyle/>
        <a:p>
          <a:r>
            <a:rPr lang="en-GB">
              <a:latin typeface="Calibri" panose="020F0502020204030204"/>
              <a:ea typeface="+mn-ea"/>
              <a:cs typeface="+mn-cs"/>
            </a:rPr>
            <a:t>Inform the accurate apportionment of service charges of new services</a:t>
          </a:r>
          <a:endParaRPr lang="en-GB"/>
        </a:p>
      </dgm:t>
    </dgm:pt>
    <dgm:pt modelId="{129E023B-96A0-459B-8F74-CE91CF60FE96}" type="parTrans" cxnId="{DFF11B2C-F4B6-47A7-90DD-FBF6D69DB0CA}">
      <dgm:prSet/>
      <dgm:spPr/>
      <dgm:t>
        <a:bodyPr/>
        <a:lstStyle/>
        <a:p>
          <a:endParaRPr lang="en-GB"/>
        </a:p>
      </dgm:t>
    </dgm:pt>
    <dgm:pt modelId="{DDA9914E-B10F-423E-85D5-4F536CF3D83F}" type="sibTrans" cxnId="{DFF11B2C-F4B6-47A7-90DD-FBF6D69DB0CA}">
      <dgm:prSet/>
      <dgm:spPr/>
      <dgm:t>
        <a:bodyPr/>
        <a:lstStyle/>
        <a:p>
          <a:endParaRPr lang="en-GB"/>
        </a:p>
      </dgm:t>
    </dgm:pt>
    <dgm:pt modelId="{ADE76AA7-3DBE-4CF9-8E6A-368D53EF9763}">
      <dgm:prSet/>
      <dgm:spPr/>
      <dgm:t>
        <a:bodyPr/>
        <a:lstStyle/>
        <a:p>
          <a:r>
            <a:rPr lang="en-GB">
              <a:latin typeface="Calibri" panose="020F0502020204030204"/>
              <a:ea typeface="+mn-ea"/>
              <a:cs typeface="+mn-cs"/>
            </a:rPr>
            <a:t>Inform the accurate apportionment of service charges on new developments</a:t>
          </a:r>
        </a:p>
      </dgm:t>
    </dgm:pt>
    <dgm:pt modelId="{8FFE3320-AA41-4A8C-B6E0-D08F3615E678}" type="parTrans" cxnId="{652688CB-5027-4DB4-9DEB-8F4EE9E94619}">
      <dgm:prSet/>
      <dgm:spPr/>
      <dgm:t>
        <a:bodyPr/>
        <a:lstStyle/>
        <a:p>
          <a:endParaRPr lang="en-GB"/>
        </a:p>
      </dgm:t>
    </dgm:pt>
    <dgm:pt modelId="{4651F0CE-D175-4F67-979C-1AD37A014844}" type="sibTrans" cxnId="{652688CB-5027-4DB4-9DEB-8F4EE9E94619}">
      <dgm:prSet/>
      <dgm:spPr/>
      <dgm:t>
        <a:bodyPr/>
        <a:lstStyle/>
        <a:p>
          <a:endParaRPr lang="en-GB"/>
        </a:p>
      </dgm:t>
    </dgm:pt>
    <dgm:pt modelId="{59409AC7-900F-45BA-952D-AE50C65149F0}" type="pres">
      <dgm:prSet presAssocID="{58FFFE03-D4EF-46D9-8A84-7E58C7E05666}" presName="Name0" presStyleCnt="0">
        <dgm:presLayoutVars>
          <dgm:dir/>
          <dgm:animLvl val="lvl"/>
          <dgm:resizeHandles val="exact"/>
        </dgm:presLayoutVars>
      </dgm:prSet>
      <dgm:spPr/>
    </dgm:pt>
    <dgm:pt modelId="{63CD0CE4-4796-4E0B-A27F-D459527FB374}" type="pres">
      <dgm:prSet presAssocID="{5C36BB2F-50A4-494B-A84D-BF62FC88227F}" presName="linNode" presStyleCnt="0"/>
      <dgm:spPr/>
    </dgm:pt>
    <dgm:pt modelId="{D1320EAE-8F8E-4510-8C50-ED3D90DE0575}" type="pres">
      <dgm:prSet presAssocID="{5C36BB2F-50A4-494B-A84D-BF62FC88227F}" presName="parentText" presStyleLbl="node1" presStyleIdx="0" presStyleCnt="7">
        <dgm:presLayoutVars>
          <dgm:chMax val="1"/>
          <dgm:bulletEnabled val="1"/>
        </dgm:presLayoutVars>
      </dgm:prSet>
      <dgm:spPr/>
    </dgm:pt>
    <dgm:pt modelId="{A729387E-7BFC-46BA-8402-BB643201DFFD}" type="pres">
      <dgm:prSet presAssocID="{5C36BB2F-50A4-494B-A84D-BF62FC88227F}" presName="descendantText" presStyleLbl="alignAccFollowNode1" presStyleIdx="0" presStyleCnt="7">
        <dgm:presLayoutVars>
          <dgm:bulletEnabled val="1"/>
        </dgm:presLayoutVars>
      </dgm:prSet>
      <dgm:spPr/>
    </dgm:pt>
    <dgm:pt modelId="{DFE13116-F5ED-4D8F-9B83-EBFD06B36719}" type="pres">
      <dgm:prSet presAssocID="{CB8D4CAB-12E7-4D56-8B3F-8E345FC2F4C7}" presName="sp" presStyleCnt="0"/>
      <dgm:spPr/>
    </dgm:pt>
    <dgm:pt modelId="{63316D14-0C70-4679-8521-09F0FB33BAF6}" type="pres">
      <dgm:prSet presAssocID="{06EC3627-37CC-4FD4-B100-5537C7AA04D9}" presName="linNode" presStyleCnt="0"/>
      <dgm:spPr/>
    </dgm:pt>
    <dgm:pt modelId="{40797342-55A8-42B8-81A3-768D43322AEF}" type="pres">
      <dgm:prSet presAssocID="{06EC3627-37CC-4FD4-B100-5537C7AA04D9}" presName="parentText" presStyleLbl="node1" presStyleIdx="1" presStyleCnt="7">
        <dgm:presLayoutVars>
          <dgm:chMax val="1"/>
          <dgm:bulletEnabled val="1"/>
        </dgm:presLayoutVars>
      </dgm:prSet>
      <dgm:spPr/>
    </dgm:pt>
    <dgm:pt modelId="{B80E6404-372B-451A-8798-9B47211D5B47}" type="pres">
      <dgm:prSet presAssocID="{06EC3627-37CC-4FD4-B100-5537C7AA04D9}" presName="descendantText" presStyleLbl="alignAccFollowNode1" presStyleIdx="1" presStyleCnt="7">
        <dgm:presLayoutVars>
          <dgm:bulletEnabled val="1"/>
        </dgm:presLayoutVars>
      </dgm:prSet>
      <dgm:spPr/>
    </dgm:pt>
    <dgm:pt modelId="{1539D15D-7739-46D4-9DDE-9C892A7AEBB7}" type="pres">
      <dgm:prSet presAssocID="{D35B7223-302A-4B09-9CB1-43F9426DF070}" presName="sp" presStyleCnt="0"/>
      <dgm:spPr/>
    </dgm:pt>
    <dgm:pt modelId="{8106C6B2-A459-47D9-8501-D408830F7D50}" type="pres">
      <dgm:prSet presAssocID="{E79E1568-6237-450F-B2E4-1A2EB7EA56BD}" presName="linNode" presStyleCnt="0"/>
      <dgm:spPr/>
    </dgm:pt>
    <dgm:pt modelId="{7DAE5DF4-D137-4A44-AF91-CDF690580569}" type="pres">
      <dgm:prSet presAssocID="{E79E1568-6237-450F-B2E4-1A2EB7EA56BD}" presName="parentText" presStyleLbl="node1" presStyleIdx="2" presStyleCnt="7">
        <dgm:presLayoutVars>
          <dgm:chMax val="1"/>
          <dgm:bulletEnabled val="1"/>
        </dgm:presLayoutVars>
      </dgm:prSet>
      <dgm:spPr/>
    </dgm:pt>
    <dgm:pt modelId="{950A47A6-5AA1-4EB3-A226-665C531A137F}" type="pres">
      <dgm:prSet presAssocID="{E79E1568-6237-450F-B2E4-1A2EB7EA56BD}" presName="descendantText" presStyleLbl="alignAccFollowNode1" presStyleIdx="2" presStyleCnt="7">
        <dgm:presLayoutVars>
          <dgm:bulletEnabled val="1"/>
        </dgm:presLayoutVars>
      </dgm:prSet>
      <dgm:spPr/>
    </dgm:pt>
    <dgm:pt modelId="{F718ECEC-41EC-4BE4-9B94-2BB0ADBEB178}" type="pres">
      <dgm:prSet presAssocID="{7528C6E2-6BF7-47FE-950D-25F4701D5E48}" presName="sp" presStyleCnt="0"/>
      <dgm:spPr/>
    </dgm:pt>
    <dgm:pt modelId="{E923E0BC-57B3-48E2-9825-763BD5A29546}" type="pres">
      <dgm:prSet presAssocID="{558C0EFF-456B-420A-8333-DA304854A742}" presName="linNode" presStyleCnt="0"/>
      <dgm:spPr/>
    </dgm:pt>
    <dgm:pt modelId="{98811007-708F-4162-AFDF-3321753319F5}" type="pres">
      <dgm:prSet presAssocID="{558C0EFF-456B-420A-8333-DA304854A742}" presName="parentText" presStyleLbl="node1" presStyleIdx="3" presStyleCnt="7">
        <dgm:presLayoutVars>
          <dgm:chMax val="1"/>
          <dgm:bulletEnabled val="1"/>
        </dgm:presLayoutVars>
      </dgm:prSet>
      <dgm:spPr/>
    </dgm:pt>
    <dgm:pt modelId="{56BDD683-97AA-4EB8-AC98-695F370B5355}" type="pres">
      <dgm:prSet presAssocID="{558C0EFF-456B-420A-8333-DA304854A742}" presName="descendantText" presStyleLbl="alignAccFollowNode1" presStyleIdx="3" presStyleCnt="7">
        <dgm:presLayoutVars>
          <dgm:bulletEnabled val="1"/>
        </dgm:presLayoutVars>
      </dgm:prSet>
      <dgm:spPr/>
    </dgm:pt>
    <dgm:pt modelId="{2FC05D6F-CB99-42B8-9A86-6784C7F785CB}" type="pres">
      <dgm:prSet presAssocID="{A27F9D74-1DE9-4427-872A-8D2AB28A7446}" presName="sp" presStyleCnt="0"/>
      <dgm:spPr/>
    </dgm:pt>
    <dgm:pt modelId="{C95C5C7F-43EB-439E-8F50-9ABE1BBA97FF}" type="pres">
      <dgm:prSet presAssocID="{51697981-11A8-4E76-BC8E-0D82B6BD97E4}" presName="linNode" presStyleCnt="0"/>
      <dgm:spPr/>
    </dgm:pt>
    <dgm:pt modelId="{CDADA406-292B-4A8B-B102-89D1F35ED7D2}" type="pres">
      <dgm:prSet presAssocID="{51697981-11A8-4E76-BC8E-0D82B6BD97E4}" presName="parentText" presStyleLbl="node1" presStyleIdx="4" presStyleCnt="7">
        <dgm:presLayoutVars>
          <dgm:chMax val="1"/>
          <dgm:bulletEnabled val="1"/>
        </dgm:presLayoutVars>
      </dgm:prSet>
      <dgm:spPr/>
    </dgm:pt>
    <dgm:pt modelId="{DEA5BC12-0FCA-46A0-A3A6-DEF06D8C7CE0}" type="pres">
      <dgm:prSet presAssocID="{51697981-11A8-4E76-BC8E-0D82B6BD97E4}" presName="descendantText" presStyleLbl="alignAccFollowNode1" presStyleIdx="4" presStyleCnt="7">
        <dgm:presLayoutVars>
          <dgm:bulletEnabled val="1"/>
        </dgm:presLayoutVars>
      </dgm:prSet>
      <dgm:spPr/>
    </dgm:pt>
    <dgm:pt modelId="{152C5A82-87FF-4DF6-82FB-61E31C9C31E2}" type="pres">
      <dgm:prSet presAssocID="{88054DB3-D966-426E-B4FA-FD83E92E7A78}" presName="sp" presStyleCnt="0"/>
      <dgm:spPr/>
    </dgm:pt>
    <dgm:pt modelId="{1FB6459D-B30B-4573-AA24-903C7C3B923E}" type="pres">
      <dgm:prSet presAssocID="{98067089-1075-46DA-80EF-6D5EE68C4B45}" presName="linNode" presStyleCnt="0"/>
      <dgm:spPr/>
    </dgm:pt>
    <dgm:pt modelId="{E6F6FDF9-34DC-400C-84E2-D494A8E358EC}" type="pres">
      <dgm:prSet presAssocID="{98067089-1075-46DA-80EF-6D5EE68C4B45}" presName="parentText" presStyleLbl="node1" presStyleIdx="5" presStyleCnt="7">
        <dgm:presLayoutVars>
          <dgm:chMax val="1"/>
          <dgm:bulletEnabled val="1"/>
        </dgm:presLayoutVars>
      </dgm:prSet>
      <dgm:spPr/>
    </dgm:pt>
    <dgm:pt modelId="{1F37045D-E5DE-4E28-9D90-A177DC3F4CAC}" type="pres">
      <dgm:prSet presAssocID="{98067089-1075-46DA-80EF-6D5EE68C4B45}" presName="descendantText" presStyleLbl="alignAccFollowNode1" presStyleIdx="5" presStyleCnt="7">
        <dgm:presLayoutVars>
          <dgm:bulletEnabled val="1"/>
        </dgm:presLayoutVars>
      </dgm:prSet>
      <dgm:spPr/>
    </dgm:pt>
    <dgm:pt modelId="{CF1A8342-D42A-492A-A61D-618E04FEAC85}" type="pres">
      <dgm:prSet presAssocID="{9976F1AB-4043-414F-9BCE-956AAA073A66}" presName="sp" presStyleCnt="0"/>
      <dgm:spPr/>
    </dgm:pt>
    <dgm:pt modelId="{3E646630-D07E-4EFF-B719-B1A554662505}" type="pres">
      <dgm:prSet presAssocID="{437AB3C3-205A-417B-B038-B9D873417214}" presName="linNode" presStyleCnt="0"/>
      <dgm:spPr/>
    </dgm:pt>
    <dgm:pt modelId="{DB9C8CA2-5C94-449C-A5FB-5D65CD44DDDE}" type="pres">
      <dgm:prSet presAssocID="{437AB3C3-205A-417B-B038-B9D873417214}" presName="parentText" presStyleLbl="node1" presStyleIdx="6" presStyleCnt="7">
        <dgm:presLayoutVars>
          <dgm:chMax val="1"/>
          <dgm:bulletEnabled val="1"/>
        </dgm:presLayoutVars>
      </dgm:prSet>
      <dgm:spPr/>
    </dgm:pt>
    <dgm:pt modelId="{D31C0FF7-1DCB-41EE-8102-DD6871B18909}" type="pres">
      <dgm:prSet presAssocID="{437AB3C3-205A-417B-B038-B9D873417214}" presName="descendantText" presStyleLbl="alignAccFollowNode1" presStyleIdx="6" presStyleCnt="7">
        <dgm:presLayoutVars>
          <dgm:bulletEnabled val="1"/>
        </dgm:presLayoutVars>
      </dgm:prSet>
      <dgm:spPr/>
    </dgm:pt>
  </dgm:ptLst>
  <dgm:cxnLst>
    <dgm:cxn modelId="{F93E7101-359F-4246-A61C-C1D4E16B0513}" srcId="{558C0EFF-456B-420A-8333-DA304854A742}" destId="{3389D7DA-1E20-4023-8A3C-550270719E7E}" srcOrd="2" destOrd="0" parTransId="{49676DC6-9888-4FE2-B37B-814D69D3F7B1}" sibTransId="{147076EE-1A87-468A-A10D-367EE826D73A}"/>
    <dgm:cxn modelId="{DC5D1B0B-D8B1-42F0-83B8-3F916EB11BD6}" type="presOf" srcId="{EFB27705-B862-4A17-A265-2F41603895F6}" destId="{DEA5BC12-0FCA-46A0-A3A6-DEF06D8C7CE0}" srcOrd="0" destOrd="2" presId="urn:microsoft.com/office/officeart/2005/8/layout/vList5"/>
    <dgm:cxn modelId="{ED17E50B-82E9-4A4B-8F56-8B02D5F1BB33}" type="presOf" srcId="{A871DF22-2731-41F6-BFC7-9651F3A5CEC2}" destId="{A729387E-7BFC-46BA-8402-BB643201DFFD}" srcOrd="0" destOrd="0" presId="urn:microsoft.com/office/officeart/2005/8/layout/vList5"/>
    <dgm:cxn modelId="{AC465913-8767-4650-8AF2-C5E15B4DDB3B}" srcId="{437AB3C3-205A-417B-B038-B9D873417214}" destId="{6B5E5BCD-9C7C-42A5-8A57-C3A54B317BD7}" srcOrd="0" destOrd="0" parTransId="{90D9FE29-1661-489A-A65B-60BEA93AF621}" sibTransId="{9EF4E650-DC66-4E2E-8D7B-38F8386B06D7}"/>
    <dgm:cxn modelId="{1730E114-1593-4F24-90E9-721E095A3C76}" srcId="{58FFFE03-D4EF-46D9-8A84-7E58C7E05666}" destId="{5C36BB2F-50A4-494B-A84D-BF62FC88227F}" srcOrd="0" destOrd="0" parTransId="{0773B0BC-D10F-46E8-A0EB-CC4554204369}" sibTransId="{CB8D4CAB-12E7-4D56-8B3F-8E345FC2F4C7}"/>
    <dgm:cxn modelId="{D507D31A-64DB-4DCE-BA8C-187B10839D61}" srcId="{06EC3627-37CC-4FD4-B100-5537C7AA04D9}" destId="{75E80E57-F810-4237-A066-E914777E51A2}" srcOrd="1" destOrd="0" parTransId="{4F8B48E7-987A-482A-974F-890986E5225E}" sibTransId="{351EED4E-6757-49F4-A072-FFE13E3FBCBB}"/>
    <dgm:cxn modelId="{E1B6901C-5072-411B-BA2F-C2E45FE86A15}" srcId="{98067089-1075-46DA-80EF-6D5EE68C4B45}" destId="{3429B9BC-0B15-46DE-9C03-EDC91A2E5F6E}" srcOrd="0" destOrd="0" parTransId="{4F0113B8-306C-4871-B0E3-F4340C4F65D2}" sibTransId="{C6E9A4DF-1714-42B0-A53D-28581FE5AEB5}"/>
    <dgm:cxn modelId="{A635FB21-769B-4AFA-8671-6BF704442678}" type="presOf" srcId="{75E80E57-F810-4237-A066-E914777E51A2}" destId="{B80E6404-372B-451A-8798-9B47211D5B47}" srcOrd="0" destOrd="1" presId="urn:microsoft.com/office/officeart/2005/8/layout/vList5"/>
    <dgm:cxn modelId="{F01E8A27-DB59-43C1-ACE2-63F3F99AFF82}" type="presOf" srcId="{3429B9BC-0B15-46DE-9C03-EDC91A2E5F6E}" destId="{1F37045D-E5DE-4E28-9D90-A177DC3F4CAC}" srcOrd="0" destOrd="0" presId="urn:microsoft.com/office/officeart/2005/8/layout/vList5"/>
    <dgm:cxn modelId="{A0A9D928-6BFE-42C3-B186-1150E2AE6A99}" type="presOf" srcId="{2F41200B-B1FE-4BE5-9D9F-0B8EE1791C54}" destId="{B80E6404-372B-451A-8798-9B47211D5B47}" srcOrd="0" destOrd="0" presId="urn:microsoft.com/office/officeart/2005/8/layout/vList5"/>
    <dgm:cxn modelId="{A91A332A-DB75-4ADD-B21D-730CCCFEF95F}" srcId="{51697981-11A8-4E76-BC8E-0D82B6BD97E4}" destId="{EFB27705-B862-4A17-A265-2F41603895F6}" srcOrd="2" destOrd="0" parTransId="{708D2402-8DB2-4B42-9CA1-88718B6C83F5}" sibTransId="{20E3B36F-9006-4198-86AF-03C3A3FC6205}"/>
    <dgm:cxn modelId="{87F1F42B-FDF5-4768-8396-2897E7AEE0BA}" type="presOf" srcId="{BF777A2F-2E1F-41A5-9D6B-3454C372694C}" destId="{D31C0FF7-1DCB-41EE-8102-DD6871B18909}" srcOrd="0" destOrd="2" presId="urn:microsoft.com/office/officeart/2005/8/layout/vList5"/>
    <dgm:cxn modelId="{DFF11B2C-F4B6-47A7-90DD-FBF6D69DB0CA}" srcId="{51697981-11A8-4E76-BC8E-0D82B6BD97E4}" destId="{808BA5E3-9D9E-4AA3-A913-4D33B6CC1AD8}" srcOrd="1" destOrd="0" parTransId="{129E023B-96A0-459B-8F74-CE91CF60FE96}" sibTransId="{DDA9914E-B10F-423E-85D5-4F536CF3D83F}"/>
    <dgm:cxn modelId="{3451C92C-C7E9-4DBF-9ADF-9972A0194E8B}" type="presOf" srcId="{F987AF9B-CAE0-46D3-BEEA-80B314A82298}" destId="{1F37045D-E5DE-4E28-9D90-A177DC3F4CAC}" srcOrd="0" destOrd="1" presId="urn:microsoft.com/office/officeart/2005/8/layout/vList5"/>
    <dgm:cxn modelId="{3AC6142F-DDF5-463D-8971-7FD690F51D79}" type="presOf" srcId="{3389D7DA-1E20-4023-8A3C-550270719E7E}" destId="{56BDD683-97AA-4EB8-AC98-695F370B5355}" srcOrd="0" destOrd="2" presId="urn:microsoft.com/office/officeart/2005/8/layout/vList5"/>
    <dgm:cxn modelId="{2AA7C737-78D4-4097-AE02-2CDE7DA88D32}" type="presOf" srcId="{CA44842A-7BDD-46A9-8EC9-0BF54C170D16}" destId="{B80E6404-372B-451A-8798-9B47211D5B47}" srcOrd="0" destOrd="4" presId="urn:microsoft.com/office/officeart/2005/8/layout/vList5"/>
    <dgm:cxn modelId="{44BD123A-6CA4-49E0-9CCC-59580CE8A585}" type="presOf" srcId="{5C36BB2F-50A4-494B-A84D-BF62FC88227F}" destId="{D1320EAE-8F8E-4510-8C50-ED3D90DE0575}" srcOrd="0" destOrd="0" presId="urn:microsoft.com/office/officeart/2005/8/layout/vList5"/>
    <dgm:cxn modelId="{CFE06F3C-8BF2-45D9-BBAE-291D94C8112A}" type="presOf" srcId="{505A525F-5D46-4F18-9F2D-82F831E7CEB8}" destId="{DEA5BC12-0FCA-46A0-A3A6-DEF06D8C7CE0}" srcOrd="0" destOrd="0" presId="urn:microsoft.com/office/officeart/2005/8/layout/vList5"/>
    <dgm:cxn modelId="{5B2B203D-1268-401E-B87D-49A7492324EB}" type="presOf" srcId="{91306D89-99B4-4876-A648-59BE224FA96E}" destId="{56BDD683-97AA-4EB8-AC98-695F370B5355}" srcOrd="0" destOrd="3" presId="urn:microsoft.com/office/officeart/2005/8/layout/vList5"/>
    <dgm:cxn modelId="{95AD4842-2C72-4EE8-B6FD-2DE89F87B367}" srcId="{06EC3627-37CC-4FD4-B100-5537C7AA04D9}" destId="{AC87B415-79C8-4227-B6AD-A2D188E13C88}" srcOrd="3" destOrd="0" parTransId="{BE90A318-E2AD-40DA-B9AF-9815DDD2362F}" sibTransId="{F782BB49-C3C3-4CDE-A4FF-55D4F5A74C29}"/>
    <dgm:cxn modelId="{1D68A262-CFD6-468D-BB39-E9EBA336C164}" type="presOf" srcId="{51697981-11A8-4E76-BC8E-0D82B6BD97E4}" destId="{CDADA406-292B-4A8B-B102-89D1F35ED7D2}" srcOrd="0" destOrd="0" presId="urn:microsoft.com/office/officeart/2005/8/layout/vList5"/>
    <dgm:cxn modelId="{157D5346-C12D-4AE5-840B-2D77B975D9C7}" srcId="{5C36BB2F-50A4-494B-A84D-BF62FC88227F}" destId="{A871DF22-2731-41F6-BFC7-9651F3A5CEC2}" srcOrd="0" destOrd="0" parTransId="{31437729-DBFF-4D51-B877-29E5947CCA75}" sibTransId="{2F875E02-8D61-47A3-97FF-4B9C7F0B0613}"/>
    <dgm:cxn modelId="{D828D749-4C6C-4788-8E8F-1323990592B3}" srcId="{58FFFE03-D4EF-46D9-8A84-7E58C7E05666}" destId="{558C0EFF-456B-420A-8333-DA304854A742}" srcOrd="3" destOrd="0" parTransId="{DE002D8E-7E3E-4DDD-B7C1-63BB00109E27}" sibTransId="{A27F9D74-1DE9-4427-872A-8D2AB28A7446}"/>
    <dgm:cxn modelId="{5AFC2B6A-FEDB-48EE-AC27-E8B8E19E9BF9}" srcId="{06EC3627-37CC-4FD4-B100-5537C7AA04D9}" destId="{EE45627E-D143-4A4A-B759-5821F06234F5}" srcOrd="2" destOrd="0" parTransId="{31570D38-E9A4-40BD-8898-4B8B86A16E6D}" sibTransId="{D781DDC9-CB8B-4BBC-92B4-FA1E1DA79DE9}"/>
    <dgm:cxn modelId="{A01FA64A-ADD9-4E97-A555-0947BC5EEF1F}" type="presOf" srcId="{AC87B415-79C8-4227-B6AD-A2D188E13C88}" destId="{B80E6404-372B-451A-8798-9B47211D5B47}" srcOrd="0" destOrd="3" presId="urn:microsoft.com/office/officeart/2005/8/layout/vList5"/>
    <dgm:cxn modelId="{23D1086B-FEE7-4D4F-8F64-29C5D95D0CD7}" type="presOf" srcId="{711336B4-CE67-4350-90E7-179C4FBD3A8A}" destId="{A729387E-7BFC-46BA-8402-BB643201DFFD}" srcOrd="0" destOrd="1" presId="urn:microsoft.com/office/officeart/2005/8/layout/vList5"/>
    <dgm:cxn modelId="{4CC44A4B-92C1-458D-BC6C-D5109854D00C}" srcId="{51697981-11A8-4E76-BC8E-0D82B6BD97E4}" destId="{586581CD-1818-4C05-8E64-3F62AABE4181}" srcOrd="3" destOrd="0" parTransId="{0FF36D1C-919B-4F93-84DB-8C0755370213}" sibTransId="{16D0D75A-54C7-468C-9ECF-6FFBC64E9F70}"/>
    <dgm:cxn modelId="{9118E26E-459B-468A-A43A-65A01EF83FE0}" srcId="{06EC3627-37CC-4FD4-B100-5537C7AA04D9}" destId="{CA44842A-7BDD-46A9-8EC9-0BF54C170D16}" srcOrd="4" destOrd="0" parTransId="{BD88A9CB-4B7D-4A3C-B66A-099D9C3B74DE}" sibTransId="{72EAD403-5AB0-4E26-BA5C-0E6700DC7314}"/>
    <dgm:cxn modelId="{C52EAC4F-A7BF-43D5-9666-D9B3A3B9A3E2}" type="presOf" srcId="{7002C0FC-8B25-42BC-870B-DB5FD241C29F}" destId="{D31C0FF7-1DCB-41EE-8102-DD6871B18909}" srcOrd="0" destOrd="1" presId="urn:microsoft.com/office/officeart/2005/8/layout/vList5"/>
    <dgm:cxn modelId="{6187AD70-F78C-489F-ADD3-D71E5993DC33}" type="presOf" srcId="{98067089-1075-46DA-80EF-6D5EE68C4B45}" destId="{E6F6FDF9-34DC-400C-84E2-D494A8E358EC}" srcOrd="0" destOrd="0" presId="urn:microsoft.com/office/officeart/2005/8/layout/vList5"/>
    <dgm:cxn modelId="{1BB29251-883A-4A11-A856-9D6FCD67B972}" srcId="{51697981-11A8-4E76-BC8E-0D82B6BD97E4}" destId="{505A525F-5D46-4F18-9F2D-82F831E7CEB8}" srcOrd="0" destOrd="0" parTransId="{3396CED1-AE75-4687-92CA-EF926C5B417C}" sibTransId="{E9483C13-C65E-4551-907A-9B02F8FA88BF}"/>
    <dgm:cxn modelId="{76D7B273-3D09-4376-81B9-787708C4F114}" type="presOf" srcId="{558C0EFF-456B-420A-8333-DA304854A742}" destId="{98811007-708F-4162-AFDF-3321753319F5}" srcOrd="0" destOrd="0" presId="urn:microsoft.com/office/officeart/2005/8/layout/vList5"/>
    <dgm:cxn modelId="{3A44EF54-13A3-48A9-89BF-D6141BCEC700}" srcId="{58FFFE03-D4EF-46D9-8A84-7E58C7E05666}" destId="{06EC3627-37CC-4FD4-B100-5537C7AA04D9}" srcOrd="1" destOrd="0" parTransId="{FE681CDD-E554-4B16-85DC-79992B6A2709}" sibTransId="{D35B7223-302A-4B09-9CB1-43F9426DF070}"/>
    <dgm:cxn modelId="{E7680D76-0B76-42E2-8749-253835CF2C3F}" type="presOf" srcId="{C916C76F-80C4-43D0-8E4D-FA2A51484CE0}" destId="{56BDD683-97AA-4EB8-AC98-695F370B5355}" srcOrd="0" destOrd="0" presId="urn:microsoft.com/office/officeart/2005/8/layout/vList5"/>
    <dgm:cxn modelId="{70182579-CFFB-4AF6-BCB4-7B61392B8E09}" type="presOf" srcId="{586581CD-1818-4C05-8E64-3F62AABE4181}" destId="{DEA5BC12-0FCA-46A0-A3A6-DEF06D8C7CE0}" srcOrd="0" destOrd="3" presId="urn:microsoft.com/office/officeart/2005/8/layout/vList5"/>
    <dgm:cxn modelId="{E32E9259-0E1F-4B70-8363-009E256A1F8E}" type="presOf" srcId="{6B5E5BCD-9C7C-42A5-8A57-C3A54B317BD7}" destId="{D31C0FF7-1DCB-41EE-8102-DD6871B18909}" srcOrd="0" destOrd="0" presId="urn:microsoft.com/office/officeart/2005/8/layout/vList5"/>
    <dgm:cxn modelId="{655DED79-1EE1-4CF3-AA47-04D1F197C072}" srcId="{58FFFE03-D4EF-46D9-8A84-7E58C7E05666}" destId="{437AB3C3-205A-417B-B038-B9D873417214}" srcOrd="6" destOrd="0" parTransId="{3324F165-F20F-43AC-BD67-4C412B10EDEB}" sibTransId="{056131DC-7652-4364-A57C-6C7E45B39873}"/>
    <dgm:cxn modelId="{AF146A7A-198C-462D-A93E-3BF37AC7C2E8}" srcId="{58FFFE03-D4EF-46D9-8A84-7E58C7E05666}" destId="{98067089-1075-46DA-80EF-6D5EE68C4B45}" srcOrd="5" destOrd="0" parTransId="{B95F50F0-6A74-49F9-991D-DF866B8E697E}" sibTransId="{9976F1AB-4043-414F-9BCE-956AAA073A66}"/>
    <dgm:cxn modelId="{4E55D07A-4340-4C1F-A5E2-AE7FD735A09E}" srcId="{558C0EFF-456B-420A-8333-DA304854A742}" destId="{91306D89-99B4-4876-A648-59BE224FA96E}" srcOrd="3" destOrd="0" parTransId="{7F563F52-6967-401A-B84A-CB882772AEB8}" sibTransId="{D730CD77-AA7F-4062-94A3-28C1F6731467}"/>
    <dgm:cxn modelId="{9280917F-5DC8-442F-BEE5-B1AD4E0D2EFB}" type="presOf" srcId="{69BF9B35-4FE1-4689-BAA7-F11AD2A1DA28}" destId="{950A47A6-5AA1-4EB3-A226-665C531A137F}" srcOrd="0" destOrd="0" presId="urn:microsoft.com/office/officeart/2005/8/layout/vList5"/>
    <dgm:cxn modelId="{F1CC0381-247A-49DB-A41C-EAB373751399}" srcId="{E79E1568-6237-450F-B2E4-1A2EB7EA56BD}" destId="{1718FB4E-4609-4302-9274-141E87933B6F}" srcOrd="2" destOrd="0" parTransId="{A17C8FC2-1609-4CA0-8710-198ED4791938}" sibTransId="{2E7B3339-C631-4837-851E-68C68EB888EC}"/>
    <dgm:cxn modelId="{39BB4D82-AC3A-4874-A3B9-3FE5675346EB}" srcId="{E79E1568-6237-450F-B2E4-1A2EB7EA56BD}" destId="{69BF9B35-4FE1-4689-BAA7-F11AD2A1DA28}" srcOrd="0" destOrd="0" parTransId="{E41DFA4B-DC20-4830-80E1-6AB5B6847EFE}" sibTransId="{EA88BBD5-8053-41E2-970D-3FCA60085BF0}"/>
    <dgm:cxn modelId="{4C19B78A-020E-43D6-B94D-A0760BFB27AD}" srcId="{58FFFE03-D4EF-46D9-8A84-7E58C7E05666}" destId="{51697981-11A8-4E76-BC8E-0D82B6BD97E4}" srcOrd="4" destOrd="0" parTransId="{ADDFEC54-D158-4163-94EB-2802CB9F91B3}" sibTransId="{88054DB3-D966-426E-B4FA-FD83E92E7A78}"/>
    <dgm:cxn modelId="{9C5A2890-A023-4964-ACC6-FFC32FB78583}" srcId="{437AB3C3-205A-417B-B038-B9D873417214}" destId="{BF777A2F-2E1F-41A5-9D6B-3454C372694C}" srcOrd="2" destOrd="0" parTransId="{085F2B3C-9EA0-4238-A7B0-70A1985664F3}" sibTransId="{D85E4A9F-6837-4574-BA98-BA48C743F147}"/>
    <dgm:cxn modelId="{3D64C792-EA95-48EB-B454-EB03A50A26A2}" srcId="{E79E1568-6237-450F-B2E4-1A2EB7EA56BD}" destId="{7A1795F0-59DB-4DB9-92F4-E013CA7DF992}" srcOrd="1" destOrd="0" parTransId="{80A509CC-A7E8-4E8F-8026-F40EA9C5C183}" sibTransId="{10076210-7FF4-4D86-8E03-AADEB1DBCAFB}"/>
    <dgm:cxn modelId="{C925CE94-E6D0-46D9-A884-602F07A2358B}" srcId="{558C0EFF-456B-420A-8333-DA304854A742}" destId="{C916C76F-80C4-43D0-8E4D-FA2A51484CE0}" srcOrd="0" destOrd="0" parTransId="{8A01A364-6CB1-4C3A-A533-066E753F05FD}" sibTransId="{2E936DF0-DC4B-45E7-9AE5-A52F13A1B23B}"/>
    <dgm:cxn modelId="{6377A595-7037-4EFE-9AF0-1516D1B153E6}" type="presOf" srcId="{2B300F23-A959-494C-A078-396348FF057C}" destId="{56BDD683-97AA-4EB8-AC98-695F370B5355}" srcOrd="0" destOrd="4" presId="urn:microsoft.com/office/officeart/2005/8/layout/vList5"/>
    <dgm:cxn modelId="{5A1C2E98-AE05-4231-9A8C-DCA60F174770}" srcId="{437AB3C3-205A-417B-B038-B9D873417214}" destId="{7002C0FC-8B25-42BC-870B-DB5FD241C29F}" srcOrd="1" destOrd="0" parTransId="{AAD086B1-BE13-4535-8AD2-9B89563CEB6D}" sibTransId="{89DDD1FC-6E4F-41C1-88E2-8EC931358075}"/>
    <dgm:cxn modelId="{4FE0529A-5104-4AB0-A6F9-62FE52180EE6}" type="presOf" srcId="{58FFFE03-D4EF-46D9-8A84-7E58C7E05666}" destId="{59409AC7-900F-45BA-952D-AE50C65149F0}" srcOrd="0" destOrd="0" presId="urn:microsoft.com/office/officeart/2005/8/layout/vList5"/>
    <dgm:cxn modelId="{384CD79C-D08F-48D5-97C3-F0A064D911B3}" srcId="{98067089-1075-46DA-80EF-6D5EE68C4B45}" destId="{F987AF9B-CAE0-46D3-BEEA-80B314A82298}" srcOrd="1" destOrd="0" parTransId="{A25F99CB-2F46-4082-9B89-08B12ABDB3DE}" sibTransId="{F326DD5E-43F5-4F36-B648-F8A2F3C841CF}"/>
    <dgm:cxn modelId="{8DF5159E-5F00-40C4-ACC5-D928594A3671}" type="presOf" srcId="{808BA5E3-9D9E-4AA3-A913-4D33B6CC1AD8}" destId="{DEA5BC12-0FCA-46A0-A3A6-DEF06D8C7CE0}" srcOrd="0" destOrd="1" presId="urn:microsoft.com/office/officeart/2005/8/layout/vList5"/>
    <dgm:cxn modelId="{1CBBD0A9-27BC-40DF-999E-629B996031E7}" type="presOf" srcId="{1718FB4E-4609-4302-9274-141E87933B6F}" destId="{950A47A6-5AA1-4EB3-A226-665C531A137F}" srcOrd="0" destOrd="2" presId="urn:microsoft.com/office/officeart/2005/8/layout/vList5"/>
    <dgm:cxn modelId="{319DC7AF-E86E-47A1-8188-6E7F5C82432F}" type="presOf" srcId="{E79E1568-6237-450F-B2E4-1A2EB7EA56BD}" destId="{7DAE5DF4-D137-4A44-AF91-CDF690580569}" srcOrd="0" destOrd="0" presId="urn:microsoft.com/office/officeart/2005/8/layout/vList5"/>
    <dgm:cxn modelId="{1AD924B3-6BC9-42A5-A081-6CDC50049EC3}" srcId="{558C0EFF-456B-420A-8333-DA304854A742}" destId="{D3F9FDB4-315D-409B-B298-79524338A2BC}" srcOrd="1" destOrd="0" parTransId="{A681FA49-E140-4264-8425-F0A988E1E47F}" sibTransId="{25B35BCE-4E91-431D-AC45-66AE5B37AB9A}"/>
    <dgm:cxn modelId="{0B1A95B3-D9EC-4CBD-957E-B52AABF93EDC}" srcId="{58FFFE03-D4EF-46D9-8A84-7E58C7E05666}" destId="{E79E1568-6237-450F-B2E4-1A2EB7EA56BD}" srcOrd="2" destOrd="0" parTransId="{B6C1AF60-D95A-4C1A-A3E5-5170AE8F971C}" sibTransId="{7528C6E2-6BF7-47FE-950D-25F4701D5E48}"/>
    <dgm:cxn modelId="{5D49BBB5-2E3C-47CC-8307-77AD76E19AB8}" type="presOf" srcId="{EE45627E-D143-4A4A-B759-5821F06234F5}" destId="{B80E6404-372B-451A-8798-9B47211D5B47}" srcOrd="0" destOrd="2" presId="urn:microsoft.com/office/officeart/2005/8/layout/vList5"/>
    <dgm:cxn modelId="{05D0F8C3-4F25-4418-A38B-55635B515E0D}" srcId="{06EC3627-37CC-4FD4-B100-5537C7AA04D9}" destId="{BA6450F8-85EB-48CE-A42D-179E9BDDE199}" srcOrd="5" destOrd="0" parTransId="{82FD881F-ECBE-4210-A06A-DF5FC5208E04}" sibTransId="{58628D90-DF77-4488-8A3B-F0D4F36B36BD}"/>
    <dgm:cxn modelId="{8CC21EC5-6104-4A2A-AE61-55EE776AD975}" type="presOf" srcId="{7A1795F0-59DB-4DB9-92F4-E013CA7DF992}" destId="{950A47A6-5AA1-4EB3-A226-665C531A137F}" srcOrd="0" destOrd="1" presId="urn:microsoft.com/office/officeart/2005/8/layout/vList5"/>
    <dgm:cxn modelId="{224824C5-BFB1-4293-BB6D-435B1449F6E6}" type="presOf" srcId="{06EC3627-37CC-4FD4-B100-5537C7AA04D9}" destId="{40797342-55A8-42B8-81A3-768D43322AEF}" srcOrd="0" destOrd="0" presId="urn:microsoft.com/office/officeart/2005/8/layout/vList5"/>
    <dgm:cxn modelId="{5A5A8AC9-B76F-46F6-BDB2-6335D56163E3}" srcId="{558C0EFF-456B-420A-8333-DA304854A742}" destId="{2B300F23-A959-494C-A078-396348FF057C}" srcOrd="4" destOrd="0" parTransId="{7DE31C27-EE68-49B1-9D2F-1CBAC638CA69}" sibTransId="{FEC918A6-E887-4307-A9B6-AD75752CB443}"/>
    <dgm:cxn modelId="{652688CB-5027-4DB4-9DEB-8F4EE9E94619}" srcId="{437AB3C3-205A-417B-B038-B9D873417214}" destId="{ADE76AA7-3DBE-4CF9-8E6A-368D53EF9763}" srcOrd="3" destOrd="0" parTransId="{8FFE3320-AA41-4A8C-B6E0-D08F3615E678}" sibTransId="{4651F0CE-D175-4F67-979C-1AD37A014844}"/>
    <dgm:cxn modelId="{FBACEDD2-B91C-4A63-9249-562BE82C353A}" type="presOf" srcId="{437AB3C3-205A-417B-B038-B9D873417214}" destId="{DB9C8CA2-5C94-449C-A5FB-5D65CD44DDDE}" srcOrd="0" destOrd="0" presId="urn:microsoft.com/office/officeart/2005/8/layout/vList5"/>
    <dgm:cxn modelId="{E83EF1DA-545F-4F5A-9154-E5D1B9225D3D}" type="presOf" srcId="{BA6450F8-85EB-48CE-A42D-179E9BDDE199}" destId="{B80E6404-372B-451A-8798-9B47211D5B47}" srcOrd="0" destOrd="5" presId="urn:microsoft.com/office/officeart/2005/8/layout/vList5"/>
    <dgm:cxn modelId="{B2AF73DE-B5F5-454D-B7AD-C28A6DAD6F6E}" type="presOf" srcId="{D3F9FDB4-315D-409B-B298-79524338A2BC}" destId="{56BDD683-97AA-4EB8-AC98-695F370B5355}" srcOrd="0" destOrd="1" presId="urn:microsoft.com/office/officeart/2005/8/layout/vList5"/>
    <dgm:cxn modelId="{DA8B8EE9-25E6-4FD8-902F-2984B5FB5091}" type="presOf" srcId="{ADE76AA7-3DBE-4CF9-8E6A-368D53EF9763}" destId="{D31C0FF7-1DCB-41EE-8102-DD6871B18909}" srcOrd="0" destOrd="3" presId="urn:microsoft.com/office/officeart/2005/8/layout/vList5"/>
    <dgm:cxn modelId="{177769EA-B794-49EE-9B4C-BE3B7C2D114C}" srcId="{5C36BB2F-50A4-494B-A84D-BF62FC88227F}" destId="{711336B4-CE67-4350-90E7-179C4FBD3A8A}" srcOrd="1" destOrd="0" parTransId="{CD8B9483-0843-4134-BB39-6FC79F8D1A0C}" sibTransId="{AF14DFEF-B921-45BC-8645-83D8AC4B739F}"/>
    <dgm:cxn modelId="{EEFF42F2-3DF1-44F5-9EE4-1A42C3F7F48F}" srcId="{06EC3627-37CC-4FD4-B100-5537C7AA04D9}" destId="{2F41200B-B1FE-4BE5-9D9F-0B8EE1791C54}" srcOrd="0" destOrd="0" parTransId="{55781F48-FC58-4C29-A26B-DF8E46E137DF}" sibTransId="{96CE9902-4ED9-48E9-8D25-A78A2658F327}"/>
    <dgm:cxn modelId="{72F2B738-08E7-4D22-B453-B93F697D5211}" type="presParOf" srcId="{59409AC7-900F-45BA-952D-AE50C65149F0}" destId="{63CD0CE4-4796-4E0B-A27F-D459527FB374}" srcOrd="0" destOrd="0" presId="urn:microsoft.com/office/officeart/2005/8/layout/vList5"/>
    <dgm:cxn modelId="{F738355C-AC3A-4128-81D5-4C0A940BE888}" type="presParOf" srcId="{63CD0CE4-4796-4E0B-A27F-D459527FB374}" destId="{D1320EAE-8F8E-4510-8C50-ED3D90DE0575}" srcOrd="0" destOrd="0" presId="urn:microsoft.com/office/officeart/2005/8/layout/vList5"/>
    <dgm:cxn modelId="{CDE3CDA2-EE25-491C-8640-17AA874A6F4C}" type="presParOf" srcId="{63CD0CE4-4796-4E0B-A27F-D459527FB374}" destId="{A729387E-7BFC-46BA-8402-BB643201DFFD}" srcOrd="1" destOrd="0" presId="urn:microsoft.com/office/officeart/2005/8/layout/vList5"/>
    <dgm:cxn modelId="{1802D010-4805-4B75-859D-3613838AC753}" type="presParOf" srcId="{59409AC7-900F-45BA-952D-AE50C65149F0}" destId="{DFE13116-F5ED-4D8F-9B83-EBFD06B36719}" srcOrd="1" destOrd="0" presId="urn:microsoft.com/office/officeart/2005/8/layout/vList5"/>
    <dgm:cxn modelId="{0D32D211-5945-4AF5-A371-2F81421752CE}" type="presParOf" srcId="{59409AC7-900F-45BA-952D-AE50C65149F0}" destId="{63316D14-0C70-4679-8521-09F0FB33BAF6}" srcOrd="2" destOrd="0" presId="urn:microsoft.com/office/officeart/2005/8/layout/vList5"/>
    <dgm:cxn modelId="{6E7F4F29-7DA3-4C04-B344-8B5914674426}" type="presParOf" srcId="{63316D14-0C70-4679-8521-09F0FB33BAF6}" destId="{40797342-55A8-42B8-81A3-768D43322AEF}" srcOrd="0" destOrd="0" presId="urn:microsoft.com/office/officeart/2005/8/layout/vList5"/>
    <dgm:cxn modelId="{DDCFF853-0AE0-4C89-94FE-5E761A7F4A9C}" type="presParOf" srcId="{63316D14-0C70-4679-8521-09F0FB33BAF6}" destId="{B80E6404-372B-451A-8798-9B47211D5B47}" srcOrd="1" destOrd="0" presId="urn:microsoft.com/office/officeart/2005/8/layout/vList5"/>
    <dgm:cxn modelId="{C8BBC55E-E1FD-4583-88BD-717DB4ADFD3E}" type="presParOf" srcId="{59409AC7-900F-45BA-952D-AE50C65149F0}" destId="{1539D15D-7739-46D4-9DDE-9C892A7AEBB7}" srcOrd="3" destOrd="0" presId="urn:microsoft.com/office/officeart/2005/8/layout/vList5"/>
    <dgm:cxn modelId="{F74960A9-AFA5-4B47-8B87-C473237035B8}" type="presParOf" srcId="{59409AC7-900F-45BA-952D-AE50C65149F0}" destId="{8106C6B2-A459-47D9-8501-D408830F7D50}" srcOrd="4" destOrd="0" presId="urn:microsoft.com/office/officeart/2005/8/layout/vList5"/>
    <dgm:cxn modelId="{E864B56E-06D5-4ADA-BB8B-FA2A58D70C1E}" type="presParOf" srcId="{8106C6B2-A459-47D9-8501-D408830F7D50}" destId="{7DAE5DF4-D137-4A44-AF91-CDF690580569}" srcOrd="0" destOrd="0" presId="urn:microsoft.com/office/officeart/2005/8/layout/vList5"/>
    <dgm:cxn modelId="{831AD886-9FAF-4EAF-B5AA-DE8E25984F09}" type="presParOf" srcId="{8106C6B2-A459-47D9-8501-D408830F7D50}" destId="{950A47A6-5AA1-4EB3-A226-665C531A137F}" srcOrd="1" destOrd="0" presId="urn:microsoft.com/office/officeart/2005/8/layout/vList5"/>
    <dgm:cxn modelId="{621F4FAC-D6C2-4AC9-855C-EDE62C8DF48C}" type="presParOf" srcId="{59409AC7-900F-45BA-952D-AE50C65149F0}" destId="{F718ECEC-41EC-4BE4-9B94-2BB0ADBEB178}" srcOrd="5" destOrd="0" presId="urn:microsoft.com/office/officeart/2005/8/layout/vList5"/>
    <dgm:cxn modelId="{2FE5BF9E-2693-458B-94E7-3279E9B8C6FA}" type="presParOf" srcId="{59409AC7-900F-45BA-952D-AE50C65149F0}" destId="{E923E0BC-57B3-48E2-9825-763BD5A29546}" srcOrd="6" destOrd="0" presId="urn:microsoft.com/office/officeart/2005/8/layout/vList5"/>
    <dgm:cxn modelId="{BC3E300E-3F29-4F58-9270-66477B010C10}" type="presParOf" srcId="{E923E0BC-57B3-48E2-9825-763BD5A29546}" destId="{98811007-708F-4162-AFDF-3321753319F5}" srcOrd="0" destOrd="0" presId="urn:microsoft.com/office/officeart/2005/8/layout/vList5"/>
    <dgm:cxn modelId="{9D14F048-6A16-4FFF-AD8F-047528C273C5}" type="presParOf" srcId="{E923E0BC-57B3-48E2-9825-763BD5A29546}" destId="{56BDD683-97AA-4EB8-AC98-695F370B5355}" srcOrd="1" destOrd="0" presId="urn:microsoft.com/office/officeart/2005/8/layout/vList5"/>
    <dgm:cxn modelId="{8D7F1A1A-9E2E-41DB-B4B1-0EABBAA21BE6}" type="presParOf" srcId="{59409AC7-900F-45BA-952D-AE50C65149F0}" destId="{2FC05D6F-CB99-42B8-9A86-6784C7F785CB}" srcOrd="7" destOrd="0" presId="urn:microsoft.com/office/officeart/2005/8/layout/vList5"/>
    <dgm:cxn modelId="{BB270D3C-3430-4885-8822-6F6CDD1BF81B}" type="presParOf" srcId="{59409AC7-900F-45BA-952D-AE50C65149F0}" destId="{C95C5C7F-43EB-439E-8F50-9ABE1BBA97FF}" srcOrd="8" destOrd="0" presId="urn:microsoft.com/office/officeart/2005/8/layout/vList5"/>
    <dgm:cxn modelId="{ACA9562F-DE48-43ED-84C9-553A4D65B5D1}" type="presParOf" srcId="{C95C5C7F-43EB-439E-8F50-9ABE1BBA97FF}" destId="{CDADA406-292B-4A8B-B102-89D1F35ED7D2}" srcOrd="0" destOrd="0" presId="urn:microsoft.com/office/officeart/2005/8/layout/vList5"/>
    <dgm:cxn modelId="{68EAD5FD-2EA6-4798-A922-4ED3DEAC0481}" type="presParOf" srcId="{C95C5C7F-43EB-439E-8F50-9ABE1BBA97FF}" destId="{DEA5BC12-0FCA-46A0-A3A6-DEF06D8C7CE0}" srcOrd="1" destOrd="0" presId="urn:microsoft.com/office/officeart/2005/8/layout/vList5"/>
    <dgm:cxn modelId="{DF4A73FB-3FC2-4BE7-BA4D-133B316ED944}" type="presParOf" srcId="{59409AC7-900F-45BA-952D-AE50C65149F0}" destId="{152C5A82-87FF-4DF6-82FB-61E31C9C31E2}" srcOrd="9" destOrd="0" presId="urn:microsoft.com/office/officeart/2005/8/layout/vList5"/>
    <dgm:cxn modelId="{7CCD01DB-DAA2-4A2F-BBF9-2CBCA4396FE1}" type="presParOf" srcId="{59409AC7-900F-45BA-952D-AE50C65149F0}" destId="{1FB6459D-B30B-4573-AA24-903C7C3B923E}" srcOrd="10" destOrd="0" presId="urn:microsoft.com/office/officeart/2005/8/layout/vList5"/>
    <dgm:cxn modelId="{8CC6770B-92F8-4B30-95EC-827069BCFE61}" type="presParOf" srcId="{1FB6459D-B30B-4573-AA24-903C7C3B923E}" destId="{E6F6FDF9-34DC-400C-84E2-D494A8E358EC}" srcOrd="0" destOrd="0" presId="urn:microsoft.com/office/officeart/2005/8/layout/vList5"/>
    <dgm:cxn modelId="{01D79282-8DCB-4AD7-9A28-CF1025ADAB58}" type="presParOf" srcId="{1FB6459D-B30B-4573-AA24-903C7C3B923E}" destId="{1F37045D-E5DE-4E28-9D90-A177DC3F4CAC}" srcOrd="1" destOrd="0" presId="urn:microsoft.com/office/officeart/2005/8/layout/vList5"/>
    <dgm:cxn modelId="{60D34087-FF0F-4658-90E1-9AD54667E856}" type="presParOf" srcId="{59409AC7-900F-45BA-952D-AE50C65149F0}" destId="{CF1A8342-D42A-492A-A61D-618E04FEAC85}" srcOrd="11" destOrd="0" presId="urn:microsoft.com/office/officeart/2005/8/layout/vList5"/>
    <dgm:cxn modelId="{8CCCE4D7-C8E4-4691-AFFA-350C09310538}" type="presParOf" srcId="{59409AC7-900F-45BA-952D-AE50C65149F0}" destId="{3E646630-D07E-4EFF-B719-B1A554662505}" srcOrd="12" destOrd="0" presId="urn:microsoft.com/office/officeart/2005/8/layout/vList5"/>
    <dgm:cxn modelId="{F0881FB3-4D73-4441-9E2E-FCEB9603B1D5}" type="presParOf" srcId="{3E646630-D07E-4EFF-B719-B1A554662505}" destId="{DB9C8CA2-5C94-449C-A5FB-5D65CD44DDDE}" srcOrd="0" destOrd="0" presId="urn:microsoft.com/office/officeart/2005/8/layout/vList5"/>
    <dgm:cxn modelId="{EA91F1E9-ECF0-4D40-A07D-DDE880E9D4E1}" type="presParOf" srcId="{3E646630-D07E-4EFF-B719-B1A554662505}" destId="{D31C0FF7-1DCB-41EE-8102-DD6871B18909}"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9387E-7BFC-46BA-8402-BB643201DFFD}">
      <dsp:nvSpPr>
        <dsp:cNvPr id="0" name=""/>
        <dsp:cNvSpPr/>
      </dsp:nvSpPr>
      <dsp:spPr>
        <a:xfrm rot="5400000">
          <a:off x="3478322" y="-1439717"/>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latin typeface="Arial" panose="020B0604020202020204" pitchFamily="34" charset="0"/>
              <a:ea typeface="+mn-ea"/>
              <a:cs typeface="Arial" panose="020B0604020202020204" pitchFamily="34" charset="0"/>
            </a:rPr>
            <a:t>Joint policy owners</a:t>
          </a:r>
          <a:endParaRPr lang="en-GB" sz="500" kern="1200"/>
        </a:p>
        <a:p>
          <a:pPr marL="57150" lvl="1" indent="-57150" algn="l" defTabSz="222250">
            <a:lnSpc>
              <a:spcPct val="90000"/>
            </a:lnSpc>
            <a:spcBef>
              <a:spcPct val="0"/>
            </a:spcBef>
            <a:spcAft>
              <a:spcPct val="15000"/>
            </a:spcAft>
            <a:buChar char="•"/>
          </a:pPr>
          <a:r>
            <a:rPr lang="en-GB" sz="500" kern="1200">
              <a:latin typeface="Arial" panose="020B0604020202020204" pitchFamily="34" charset="0"/>
              <a:ea typeface="+mn-ea"/>
              <a:cs typeface="Arial" panose="020B0604020202020204" pitchFamily="34" charset="0"/>
            </a:rPr>
            <a:t>Lobby government around potential changes in legislation and best practice
To regularly review all legislation that may require changes to the policy and procedures.</a:t>
          </a:r>
          <a:endParaRPr lang="en-GB" sz="500" kern="1200">
            <a:latin typeface="Arial" panose="020B0604020202020204" pitchFamily="34" charset="0"/>
            <a:cs typeface="Arial" panose="020B0604020202020204" pitchFamily="34" charset="0"/>
          </a:endParaRPr>
        </a:p>
      </dsp:txBody>
      <dsp:txXfrm rot="-5400000">
        <a:off x="1975104" y="88146"/>
        <a:ext cx="3486651" cy="455569"/>
      </dsp:txXfrm>
    </dsp:sp>
    <dsp:sp modelId="{D1320EAE-8F8E-4510-8C50-ED3D90DE0575}">
      <dsp:nvSpPr>
        <dsp:cNvPr id="0" name=""/>
        <dsp:cNvSpPr/>
      </dsp:nvSpPr>
      <dsp:spPr>
        <a:xfrm>
          <a:off x="0" y="393"/>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ea typeface="+mn-ea"/>
              <a:cs typeface="Arial" panose="020B0604020202020204" pitchFamily="34" charset="0"/>
            </a:rPr>
            <a:t>Policy and Strategy</a:t>
          </a:r>
          <a:endParaRPr lang="en-GB" sz="1700" kern="1200"/>
        </a:p>
      </dsp:txBody>
      <dsp:txXfrm>
        <a:off x="30806" y="31199"/>
        <a:ext cx="1913492" cy="569461"/>
      </dsp:txXfrm>
    </dsp:sp>
    <dsp:sp modelId="{B80E6404-372B-451A-8798-9B47211D5B47}">
      <dsp:nvSpPr>
        <dsp:cNvPr id="0" name=""/>
        <dsp:cNvSpPr/>
      </dsp:nvSpPr>
      <dsp:spPr>
        <a:xfrm rot="5400000">
          <a:off x="3478322" y="-777089"/>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Joint policy owners</a:t>
          </a:r>
        </a:p>
        <a:p>
          <a:pPr marL="57150" lvl="1" indent="-57150" algn="l" defTabSz="222250">
            <a:lnSpc>
              <a:spcPct val="90000"/>
            </a:lnSpc>
            <a:spcBef>
              <a:spcPct val="0"/>
            </a:spcBef>
            <a:spcAft>
              <a:spcPct val="15000"/>
            </a:spcAft>
            <a:buChar char="•"/>
          </a:pPr>
          <a:r>
            <a:rPr lang="en-GB" sz="500" kern="1200"/>
            <a:t>Ensure the accuracy of the charges are in line with the Occupancy Agreement</a:t>
          </a:r>
        </a:p>
        <a:p>
          <a:pPr marL="57150" lvl="1" indent="-57150" algn="l" defTabSz="222250">
            <a:lnSpc>
              <a:spcPct val="90000"/>
            </a:lnSpc>
            <a:spcBef>
              <a:spcPct val="0"/>
            </a:spcBef>
            <a:spcAft>
              <a:spcPct val="15000"/>
            </a:spcAft>
            <a:buChar char="•"/>
          </a:pPr>
          <a:r>
            <a:rPr lang="en-GB" sz="500" kern="1200"/>
            <a:t>Ensure systems set up accurately reflect the service charge apportionment rules</a:t>
          </a:r>
        </a:p>
        <a:p>
          <a:pPr marL="57150" lvl="1" indent="-57150" algn="l" defTabSz="222250">
            <a:lnSpc>
              <a:spcPct val="90000"/>
            </a:lnSpc>
            <a:spcBef>
              <a:spcPct val="0"/>
            </a:spcBef>
            <a:spcAft>
              <a:spcPct val="15000"/>
            </a:spcAft>
            <a:buChar char="•"/>
          </a:pPr>
          <a:r>
            <a:rPr lang="en-GB" sz="500" kern="1200"/>
            <a:t>Regulary review all legislation and make changes to the policy and procedures</a:t>
          </a:r>
        </a:p>
        <a:p>
          <a:pPr marL="57150" lvl="1" indent="-57150" algn="l" defTabSz="222250">
            <a:lnSpc>
              <a:spcPct val="90000"/>
            </a:lnSpc>
            <a:spcBef>
              <a:spcPct val="0"/>
            </a:spcBef>
            <a:spcAft>
              <a:spcPct val="15000"/>
            </a:spcAft>
            <a:buChar char="•"/>
          </a:pPr>
          <a:r>
            <a:rPr lang="en-GB" sz="500" kern="1200"/>
            <a:t>Production of customer communication</a:t>
          </a:r>
        </a:p>
        <a:p>
          <a:pPr marL="57150" lvl="1" indent="-57150" algn="l" defTabSz="222250">
            <a:lnSpc>
              <a:spcPct val="90000"/>
            </a:lnSpc>
            <a:spcBef>
              <a:spcPct val="0"/>
            </a:spcBef>
            <a:spcAft>
              <a:spcPct val="15000"/>
            </a:spcAft>
            <a:buChar char="•"/>
          </a:pPr>
          <a:r>
            <a:rPr lang="en-GB" sz="500" kern="1200"/>
            <a:t>Support resolution of complex customer queries</a:t>
          </a:r>
        </a:p>
      </dsp:txBody>
      <dsp:txXfrm rot="-5400000">
        <a:off x="1975104" y="750774"/>
        <a:ext cx="3486651" cy="455569"/>
      </dsp:txXfrm>
    </dsp:sp>
    <dsp:sp modelId="{40797342-55A8-42B8-81A3-768D43322AEF}">
      <dsp:nvSpPr>
        <dsp:cNvPr id="0" name=""/>
        <dsp:cNvSpPr/>
      </dsp:nvSpPr>
      <dsp:spPr>
        <a:xfrm>
          <a:off x="0" y="663021"/>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Customer Charges</a:t>
          </a:r>
        </a:p>
      </dsp:txBody>
      <dsp:txXfrm>
        <a:off x="30806" y="693827"/>
        <a:ext cx="1913492" cy="569461"/>
      </dsp:txXfrm>
    </dsp:sp>
    <dsp:sp modelId="{950A47A6-5AA1-4EB3-A226-665C531A137F}">
      <dsp:nvSpPr>
        <dsp:cNvPr id="0" name=""/>
        <dsp:cNvSpPr/>
      </dsp:nvSpPr>
      <dsp:spPr>
        <a:xfrm rot="5400000">
          <a:off x="3478322" y="-114462"/>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Budget setting and cost reviews with budget holders</a:t>
          </a:r>
        </a:p>
        <a:p>
          <a:pPr marL="57150" lvl="1" indent="-57150" algn="l" defTabSz="222250">
            <a:lnSpc>
              <a:spcPct val="90000"/>
            </a:lnSpc>
            <a:spcBef>
              <a:spcPct val="0"/>
            </a:spcBef>
            <a:spcAft>
              <a:spcPct val="15000"/>
            </a:spcAft>
            <a:buChar char="•"/>
          </a:pPr>
          <a:r>
            <a:rPr lang="en-GB" sz="500" kern="1200"/>
            <a:t>Production of customer communication</a:t>
          </a:r>
        </a:p>
        <a:p>
          <a:pPr marL="57150" lvl="1" indent="-57150" algn="l" defTabSz="222250">
            <a:lnSpc>
              <a:spcPct val="90000"/>
            </a:lnSpc>
            <a:spcBef>
              <a:spcPct val="0"/>
            </a:spcBef>
            <a:spcAft>
              <a:spcPct val="15000"/>
            </a:spcAft>
            <a:buChar char="•"/>
          </a:pPr>
          <a:r>
            <a:rPr lang="en-GB" sz="500" kern="1200"/>
            <a:t>Support reoslution of complex customer queries</a:t>
          </a:r>
        </a:p>
      </dsp:txBody>
      <dsp:txXfrm rot="-5400000">
        <a:off x="1975104" y="1413401"/>
        <a:ext cx="3486651" cy="455569"/>
      </dsp:txXfrm>
    </dsp:sp>
    <dsp:sp modelId="{7DAE5DF4-D137-4A44-AF91-CDF690580569}">
      <dsp:nvSpPr>
        <dsp:cNvPr id="0" name=""/>
        <dsp:cNvSpPr/>
      </dsp:nvSpPr>
      <dsp:spPr>
        <a:xfrm>
          <a:off x="0" y="1325648"/>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Finance</a:t>
          </a:r>
        </a:p>
      </dsp:txBody>
      <dsp:txXfrm>
        <a:off x="30806" y="1356454"/>
        <a:ext cx="1913492" cy="569461"/>
      </dsp:txXfrm>
    </dsp:sp>
    <dsp:sp modelId="{56BDD683-97AA-4EB8-AC98-695F370B5355}">
      <dsp:nvSpPr>
        <dsp:cNvPr id="0" name=""/>
        <dsp:cNvSpPr/>
      </dsp:nvSpPr>
      <dsp:spPr>
        <a:xfrm rot="5400000">
          <a:off x="3478322" y="548164"/>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chargeable services procured by Assets are fair and reasonable</a:t>
          </a:r>
          <a:endParaRPr lang="en-GB" sz="500" kern="1200"/>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Inform the accurate apportionment of service charges of new services</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Set and regulary review budgets and actual spend</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customers are consulted on any changes to costs/services through formal section 20 process</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Support resolution of complex customer queries</a:t>
          </a:r>
        </a:p>
      </dsp:txBody>
      <dsp:txXfrm rot="-5400000">
        <a:off x="1975104" y="2076028"/>
        <a:ext cx="3486651" cy="455569"/>
      </dsp:txXfrm>
    </dsp:sp>
    <dsp:sp modelId="{98811007-708F-4162-AFDF-3321753319F5}">
      <dsp:nvSpPr>
        <dsp:cNvPr id="0" name=""/>
        <dsp:cNvSpPr/>
      </dsp:nvSpPr>
      <dsp:spPr>
        <a:xfrm>
          <a:off x="0" y="1988276"/>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Asset Services</a:t>
          </a:r>
        </a:p>
      </dsp:txBody>
      <dsp:txXfrm>
        <a:off x="30806" y="2019082"/>
        <a:ext cx="1913492" cy="569461"/>
      </dsp:txXfrm>
    </dsp:sp>
    <dsp:sp modelId="{DEA5BC12-0FCA-46A0-A3A6-DEF06D8C7CE0}">
      <dsp:nvSpPr>
        <dsp:cNvPr id="0" name=""/>
        <dsp:cNvSpPr/>
      </dsp:nvSpPr>
      <dsp:spPr>
        <a:xfrm rot="5400000">
          <a:off x="3478322" y="1210792"/>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cheargeable services procured by front line teams are fair and reasonable </a:t>
          </a:r>
          <a:endParaRPr lang="en-GB" sz="500" kern="1200"/>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Inform the accurate apportionment of service charges of new services</a:t>
          </a:r>
          <a:endParaRPr lang="en-GB" sz="500" kern="1200"/>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customers are consulted on any changes to costs/services through formal section 20 process</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Support resolution of customer queries</a:t>
          </a:r>
        </a:p>
      </dsp:txBody>
      <dsp:txXfrm rot="-5400000">
        <a:off x="1975104" y="2738656"/>
        <a:ext cx="3486651" cy="455569"/>
      </dsp:txXfrm>
    </dsp:sp>
    <dsp:sp modelId="{CDADA406-292B-4A8B-B102-89D1F35ED7D2}">
      <dsp:nvSpPr>
        <dsp:cNvPr id="0" name=""/>
        <dsp:cNvSpPr/>
      </dsp:nvSpPr>
      <dsp:spPr>
        <a:xfrm>
          <a:off x="0" y="2650903"/>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Front Line Teams</a:t>
          </a:r>
        </a:p>
      </dsp:txBody>
      <dsp:txXfrm>
        <a:off x="30806" y="2681709"/>
        <a:ext cx="1913492" cy="569461"/>
      </dsp:txXfrm>
    </dsp:sp>
    <dsp:sp modelId="{1F37045D-E5DE-4E28-9D90-A177DC3F4CAC}">
      <dsp:nvSpPr>
        <dsp:cNvPr id="0" name=""/>
        <dsp:cNvSpPr/>
      </dsp:nvSpPr>
      <dsp:spPr>
        <a:xfrm rot="5400000">
          <a:off x="3478322" y="1873419"/>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customer queries are resolved at first point of contact, where possible, or routed to the correct team to resolve</a:t>
          </a:r>
        </a:p>
      </dsp:txBody>
      <dsp:txXfrm rot="-5400000">
        <a:off x="1975104" y="3401283"/>
        <a:ext cx="3486651" cy="455569"/>
      </dsp:txXfrm>
    </dsp:sp>
    <dsp:sp modelId="{E6F6FDF9-34DC-400C-84E2-D494A8E358EC}">
      <dsp:nvSpPr>
        <dsp:cNvPr id="0" name=""/>
        <dsp:cNvSpPr/>
      </dsp:nvSpPr>
      <dsp:spPr>
        <a:xfrm>
          <a:off x="0" y="3313531"/>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Customer Service Centre</a:t>
          </a:r>
        </a:p>
      </dsp:txBody>
      <dsp:txXfrm>
        <a:off x="30806" y="3344337"/>
        <a:ext cx="1913492" cy="569461"/>
      </dsp:txXfrm>
    </dsp:sp>
    <dsp:sp modelId="{D31C0FF7-1DCB-41EE-8102-DD6871B18909}">
      <dsp:nvSpPr>
        <dsp:cNvPr id="0" name=""/>
        <dsp:cNvSpPr/>
      </dsp:nvSpPr>
      <dsp:spPr>
        <a:xfrm rot="5400000">
          <a:off x="3478322" y="2536047"/>
          <a:ext cx="5048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all new developments are built with service charges designed appropriately</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Ensure all service charges are calculated and are included in the property hand over</a:t>
          </a:r>
        </a:p>
        <a:p>
          <a:pPr marL="57150" lvl="1" indent="-57150" algn="l" defTabSz="222250">
            <a:lnSpc>
              <a:spcPct val="90000"/>
            </a:lnSpc>
            <a:spcBef>
              <a:spcPct val="0"/>
            </a:spcBef>
            <a:spcAft>
              <a:spcPct val="15000"/>
            </a:spcAft>
            <a:buChar char="•"/>
          </a:pPr>
          <a:r>
            <a:rPr lang="en-GB" sz="500" kern="1200">
              <a:latin typeface="Calibri" panose="020F0502020204030204"/>
              <a:ea typeface="+mn-ea"/>
              <a:cs typeface="+mn-cs"/>
            </a:rPr>
            <a:t>Inform the accurate apportionment of service charges on new developments</a:t>
          </a:r>
        </a:p>
      </dsp:txBody>
      <dsp:txXfrm rot="-5400000">
        <a:off x="1975104" y="4063911"/>
        <a:ext cx="3486651" cy="455569"/>
      </dsp:txXfrm>
    </dsp:sp>
    <dsp:sp modelId="{DB9C8CA2-5C94-449C-A5FB-5D65CD44DDDE}">
      <dsp:nvSpPr>
        <dsp:cNvPr id="0" name=""/>
        <dsp:cNvSpPr/>
      </dsp:nvSpPr>
      <dsp:spPr>
        <a:xfrm>
          <a:off x="0" y="3976158"/>
          <a:ext cx="1975104" cy="6310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n-GB" sz="1700" kern="1200"/>
            <a:t>Development</a:t>
          </a:r>
        </a:p>
      </dsp:txBody>
      <dsp:txXfrm>
        <a:off x="30806" y="4006964"/>
        <a:ext cx="1913492" cy="56946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A621EEA2904FA21949E3EAC1912C" ma:contentTypeVersion="10" ma:contentTypeDescription="Create a new document." ma:contentTypeScope="" ma:versionID="f63a9e3cf10003ba0bfdd3785f5d7516">
  <xsd:schema xmlns:xsd="http://www.w3.org/2001/XMLSchema" xmlns:xs="http://www.w3.org/2001/XMLSchema" xmlns:p="http://schemas.microsoft.com/office/2006/metadata/properties" xmlns:ns1="http://schemas.microsoft.com/sharepoint/v3" xmlns:ns2="9cfd170a-b47d-44db-95df-2418b83851ec" xmlns:ns3="6e6a2644-e38a-4e65-aa1d-021cd9f5a669" targetNamespace="http://schemas.microsoft.com/office/2006/metadata/properties" ma:root="true" ma:fieldsID="4e8e6ad902eba539da074ab8c72f80b4" ns1:_="" ns2:_="" ns3:_="">
    <xsd:import namespace="http://schemas.microsoft.com/sharepoint/v3"/>
    <xsd:import namespace="9cfd170a-b47d-44db-95df-2418b83851ec"/>
    <xsd:import namespace="6e6a2644-e38a-4e65-aa1d-021cd9f5a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170a-b47d-44db-95df-2418b8385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a2644-e38a-4e65-aa1d-021cd9f5a6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3B253-40C8-4AED-9AB0-23A069630D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9DEB25-096A-4B41-9E93-9A64B0225160}">
  <ds:schemaRefs>
    <ds:schemaRef ds:uri="http://schemas.openxmlformats.org/officeDocument/2006/bibliography"/>
  </ds:schemaRefs>
</ds:datastoreItem>
</file>

<file path=customXml/itemProps3.xml><?xml version="1.0" encoding="utf-8"?>
<ds:datastoreItem xmlns:ds="http://schemas.openxmlformats.org/officeDocument/2006/customXml" ds:itemID="{CB9A6E22-9C7D-4589-AA5B-5E28E46FD340}">
  <ds:schemaRefs>
    <ds:schemaRef ds:uri="http://schemas.microsoft.com/sharepoint/v3/contenttype/forms"/>
  </ds:schemaRefs>
</ds:datastoreItem>
</file>

<file path=customXml/itemProps4.xml><?xml version="1.0" encoding="utf-8"?>
<ds:datastoreItem xmlns:ds="http://schemas.openxmlformats.org/officeDocument/2006/customXml" ds:itemID="{7ADB3253-26E6-4621-98D9-475C96AFA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d170a-b47d-44db-95df-2418b83851ec"/>
    <ds:schemaRef ds:uri="6e6a2644-e38a-4e65-aa1d-021cd9f5a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Connolly</dc:creator>
  <cp:keywords/>
  <dc:description/>
  <cp:lastModifiedBy>Hazel Makinson</cp:lastModifiedBy>
  <cp:revision>7</cp:revision>
  <dcterms:created xsi:type="dcterms:W3CDTF">2024-07-16T13:41:00Z</dcterms:created>
  <dcterms:modified xsi:type="dcterms:W3CDTF">2024-07-16T13:44:00Z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GENERAL - EXTERNAL</vt:lpwstr>
  </property>
  <property fmtid="{D5CDD505-2E9C-101B-9397-08002B2CF9AE}" pid="5" name="MSIP_Label_7d0f9151-464d-4890-bcd6-b837f13f338b_Enabled">
    <vt:lpwstr>true</vt:lpwstr>
  </property>
  <property fmtid="{D5CDD505-2E9C-101B-9397-08002B2CF9AE}" pid="6" name="MSIP_Label_7d0f9151-464d-4890-bcd6-b837f13f338b_SetDate">
    <vt:lpwstr>2023-02-15T13:03:04Z</vt:lpwstr>
  </property>
  <property fmtid="{D5CDD505-2E9C-101B-9397-08002B2CF9AE}" pid="7" name="MSIP_Label_7d0f9151-464d-4890-bcd6-b837f13f338b_Method">
    <vt:lpwstr>Privileged</vt:lpwstr>
  </property>
  <property fmtid="{D5CDD505-2E9C-101B-9397-08002B2CF9AE}" pid="8" name="MSIP_Label_7d0f9151-464d-4890-bcd6-b837f13f338b_Name">
    <vt:lpwstr>General - External</vt:lpwstr>
  </property>
  <property fmtid="{D5CDD505-2E9C-101B-9397-08002B2CF9AE}" pid="9" name="MSIP_Label_7d0f9151-464d-4890-bcd6-b837f13f338b_SiteId">
    <vt:lpwstr>0365b5b7-eb9d-4c7c-b42e-d4642c229292</vt:lpwstr>
  </property>
  <property fmtid="{D5CDD505-2E9C-101B-9397-08002B2CF9AE}" pid="10" name="MSIP_Label_7d0f9151-464d-4890-bcd6-b837f13f338b_ActionId">
    <vt:lpwstr>b2f2074a-63ef-4d65-83e1-a669961ad4b4</vt:lpwstr>
  </property>
  <property fmtid="{D5CDD505-2E9C-101B-9397-08002B2CF9AE}" pid="11" name="MSIP_Label_7d0f9151-464d-4890-bcd6-b837f13f338b_ContentBits">
    <vt:lpwstr>2</vt:lpwstr>
  </property>
  <property fmtid="{D5CDD505-2E9C-101B-9397-08002B2CF9AE}" pid="12" name="_DocHome">
    <vt:i4>1841972600</vt:i4>
  </property>
  <property fmtid="{D5CDD505-2E9C-101B-9397-08002B2CF9AE}" pid="13" name="ContentTypeId">
    <vt:lpwstr>0x0101007521A621EEA2904FA21949E3EAC1912C</vt:lpwstr>
  </property>
</Properties>
</file>